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rPr>
      </w:pPr>
    </w:p>
    <w:p>
      <w:pPr>
        <w:jc w:val="center"/>
        <w:rPr>
          <w:rFonts w:ascii="Times New Roman" w:hAnsi="Times New Roman" w:cs="Times New Roman"/>
        </w:rPr>
      </w:pPr>
      <w:r>
        <w:rPr>
          <w:rFonts w:ascii="Times New Roman" w:hAnsi="Times New Roman" w:cs="Times New Roman"/>
          <w:sz w:val="28"/>
          <w:lang w:val="en-US"/>
        </w:rPr>
        <w:drawing>
          <wp:inline distT="0" distB="0" distL="0" distR="0">
            <wp:extent cx="4107180" cy="6870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107600" cy="687600"/>
                    </a:xfrm>
                    <a:prstGeom prst="rect">
                      <a:avLst/>
                    </a:prstGeom>
                    <a:noFill/>
                    <a:ln>
                      <a:noFill/>
                    </a:ln>
                  </pic:spPr>
                </pic:pic>
              </a:graphicData>
            </a:graphic>
          </wp:inline>
        </w:drawing>
      </w: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sz w:val="40"/>
        </w:rPr>
      </w:pPr>
    </w:p>
    <w:p>
      <w:pPr>
        <w:spacing w:line="600" w:lineRule="auto"/>
        <w:jc w:val="center"/>
        <w:rPr>
          <w:rFonts w:ascii="Times New Roman" w:hAnsi="Times New Roman" w:cs="Times New Roman"/>
          <w:sz w:val="40"/>
        </w:rPr>
      </w:pPr>
      <w:r>
        <w:rPr>
          <w:rFonts w:ascii="Times New Roman" w:hAnsi="Times New Roman" w:cs="Times New Roman"/>
          <w:sz w:val="40"/>
        </w:rPr>
        <w:t>人文与法律学院</w:t>
      </w:r>
    </w:p>
    <w:p>
      <w:pPr>
        <w:spacing w:line="600" w:lineRule="auto"/>
        <w:jc w:val="center"/>
        <w:rPr>
          <w:rFonts w:ascii="Times New Roman" w:hAnsi="Times New Roman" w:cs="Times New Roman"/>
          <w:sz w:val="48"/>
          <w:szCs w:val="48"/>
        </w:rPr>
      </w:pPr>
    </w:p>
    <w:p>
      <w:pPr>
        <w:spacing w:line="600" w:lineRule="auto"/>
        <w:jc w:val="center"/>
        <w:rPr>
          <w:rFonts w:ascii="Times New Roman" w:hAnsi="Times New Roman" w:cs="Times New Roman"/>
          <w:sz w:val="48"/>
          <w:szCs w:val="48"/>
        </w:rPr>
      </w:pPr>
      <w:r>
        <w:rPr>
          <w:rFonts w:ascii="Times New Roman" w:hAnsi="Times New Roman" w:cs="Times New Roman"/>
          <w:sz w:val="48"/>
          <w:szCs w:val="48"/>
        </w:rPr>
        <w:t>2020年公共管理类</w:t>
      </w:r>
    </w:p>
    <w:p>
      <w:pPr>
        <w:spacing w:line="600" w:lineRule="auto"/>
        <w:jc w:val="center"/>
        <w:rPr>
          <w:rFonts w:hint="eastAsia" w:ascii="Times New Roman" w:hAnsi="Times New Roman" w:cs="Times New Roman"/>
          <w:sz w:val="48"/>
          <w:szCs w:val="48"/>
          <w:lang w:val="en-US" w:eastAsia="zh-CN"/>
        </w:rPr>
      </w:pPr>
      <w:r>
        <w:rPr>
          <w:rFonts w:ascii="Times New Roman" w:hAnsi="Times New Roman" w:cs="Times New Roman"/>
          <w:sz w:val="48"/>
          <w:szCs w:val="48"/>
        </w:rPr>
        <w:t>本科生专业分流</w:t>
      </w:r>
      <w:r>
        <w:rPr>
          <w:rFonts w:hint="eastAsia" w:ascii="Times New Roman" w:hAnsi="Times New Roman" w:cs="Times New Roman"/>
          <w:sz w:val="48"/>
          <w:szCs w:val="48"/>
          <w:lang w:val="en-US" w:eastAsia="zh-CN"/>
        </w:rPr>
        <w:t>信息</w:t>
      </w:r>
    </w:p>
    <w:p>
      <w:pPr>
        <w:spacing w:line="600" w:lineRule="auto"/>
        <w:jc w:val="center"/>
        <w:rPr>
          <w:rFonts w:hint="eastAsia" w:ascii="Times New Roman" w:hAnsi="Times New Roman" w:cs="Times New Roman"/>
          <w:b/>
          <w:bCs/>
          <w:sz w:val="48"/>
          <w:szCs w:val="48"/>
          <w:lang w:val="en-US" w:eastAsia="zh-CN"/>
        </w:rPr>
      </w:pPr>
      <w:r>
        <w:rPr>
          <w:rFonts w:hint="eastAsia" w:ascii="Times New Roman" w:hAnsi="Times New Roman" w:cs="Times New Roman"/>
          <w:b/>
          <w:bCs/>
          <w:sz w:val="48"/>
          <w:szCs w:val="48"/>
          <w:lang w:val="en-US" w:eastAsia="zh-CN"/>
        </w:rPr>
        <w:t>一、专业介绍</w:t>
      </w:r>
    </w:p>
    <w:p>
      <w:pPr>
        <w:spacing w:line="600" w:lineRule="auto"/>
        <w:jc w:val="center"/>
        <w:rPr>
          <w:rFonts w:hint="eastAsia" w:ascii="Times New Roman" w:hAnsi="Times New Roman" w:cs="Times New Roman"/>
          <w:b/>
          <w:bCs/>
          <w:sz w:val="48"/>
          <w:szCs w:val="48"/>
          <w:lang w:val="en-US" w:eastAsia="zh-CN"/>
        </w:rPr>
      </w:pPr>
      <w:r>
        <w:rPr>
          <w:rFonts w:hint="eastAsia" w:ascii="Times New Roman" w:hAnsi="Times New Roman" w:cs="Times New Roman"/>
          <w:b/>
          <w:bCs/>
          <w:sz w:val="48"/>
          <w:szCs w:val="48"/>
          <w:lang w:val="en-US" w:eastAsia="zh-CN"/>
        </w:rPr>
        <w:t xml:space="preserve">    二、专业培养方案</w:t>
      </w:r>
    </w:p>
    <w:p>
      <w:pPr>
        <w:spacing w:line="600" w:lineRule="auto"/>
        <w:ind w:firstLine="2891" w:firstLineChars="600"/>
        <w:jc w:val="both"/>
        <w:rPr>
          <w:rFonts w:hint="default" w:ascii="Times New Roman" w:hAnsi="Times New Roman" w:cs="Times New Roman"/>
          <w:b/>
          <w:bCs/>
          <w:sz w:val="48"/>
          <w:szCs w:val="48"/>
          <w:lang w:val="en-US" w:eastAsia="zh-CN"/>
        </w:rPr>
      </w:pPr>
      <w:r>
        <w:rPr>
          <w:rFonts w:hint="eastAsia" w:ascii="Times New Roman" w:hAnsi="Times New Roman" w:cs="Times New Roman"/>
          <w:b/>
          <w:bCs/>
          <w:sz w:val="48"/>
          <w:szCs w:val="48"/>
          <w:lang w:val="en-US" w:eastAsia="zh-CN"/>
        </w:rPr>
        <w:t>三、实施办法</w:t>
      </w:r>
    </w:p>
    <w:p>
      <w:pPr>
        <w:spacing w:line="480" w:lineRule="auto"/>
        <w:jc w:val="center"/>
        <w:rPr>
          <w:rFonts w:ascii="Times New Roman" w:hAnsi="Times New Roman" w:cs="Times New Roman"/>
          <w:sz w:val="40"/>
        </w:rPr>
      </w:pPr>
    </w:p>
    <w:p>
      <w:pPr>
        <w:jc w:val="center"/>
        <w:rPr>
          <w:rFonts w:ascii="Times New Roman" w:hAnsi="Times New Roman" w:cs="Times New Roman"/>
          <w:sz w:val="40"/>
        </w:rPr>
      </w:pPr>
    </w:p>
    <w:p>
      <w:pPr>
        <w:jc w:val="center"/>
        <w:rPr>
          <w:rFonts w:ascii="Times New Roman" w:hAnsi="Times New Roman" w:cs="Times New Roman"/>
          <w:sz w:val="40"/>
        </w:rPr>
      </w:pPr>
    </w:p>
    <w:p>
      <w:pPr>
        <w:jc w:val="center"/>
        <w:rPr>
          <w:rFonts w:ascii="Times New Roman" w:hAnsi="Times New Roman" w:cs="Times New Roman"/>
          <w:sz w:val="40"/>
        </w:rPr>
      </w:pPr>
    </w:p>
    <w:p>
      <w:pPr>
        <w:jc w:val="center"/>
        <w:rPr>
          <w:rFonts w:ascii="Times New Roman" w:hAnsi="Times New Roman" w:cs="Times New Roman"/>
          <w:sz w:val="40"/>
        </w:rPr>
      </w:pPr>
    </w:p>
    <w:p>
      <w:pPr>
        <w:jc w:val="center"/>
        <w:rPr>
          <w:rFonts w:ascii="Times New Roman" w:hAnsi="Times New Roman" w:cs="Times New Roman"/>
          <w:sz w:val="40"/>
        </w:rPr>
      </w:pPr>
    </w:p>
    <w:p>
      <w:pPr>
        <w:jc w:val="center"/>
        <w:rPr>
          <w:rFonts w:ascii="Times New Roman" w:hAnsi="Times New Roman" w:cs="Times New Roman"/>
          <w:sz w:val="40"/>
        </w:rPr>
      </w:pPr>
    </w:p>
    <w:p>
      <w:pPr>
        <w:jc w:val="center"/>
        <w:rPr>
          <w:rFonts w:ascii="Times New Roman" w:hAnsi="Times New Roman" w:cs="Times New Roman"/>
          <w:sz w:val="40"/>
        </w:rPr>
      </w:pPr>
    </w:p>
    <w:p>
      <w:pPr>
        <w:jc w:val="center"/>
        <w:rPr>
          <w:rFonts w:ascii="Times New Roman" w:hAnsi="Times New Roman" w:cs="Times New Roman"/>
          <w:sz w:val="40"/>
        </w:rPr>
      </w:pPr>
    </w:p>
    <w:p>
      <w:pPr>
        <w:spacing w:line="600" w:lineRule="auto"/>
        <w:jc w:val="both"/>
        <w:rPr>
          <w:rFonts w:hint="eastAsia" w:ascii="Times New Roman" w:hAnsi="Times New Roman" w:cs="Times New Roman"/>
          <w:b/>
          <w:bCs/>
          <w:sz w:val="48"/>
          <w:szCs w:val="48"/>
          <w:lang w:val="en-US" w:eastAsia="zh-CN"/>
        </w:rPr>
      </w:pPr>
      <w:r>
        <w:rPr>
          <w:rFonts w:hint="eastAsia" w:ascii="Times New Roman" w:hAnsi="Times New Roman" w:cs="Times New Roman"/>
          <w:b/>
          <w:bCs/>
          <w:sz w:val="48"/>
          <w:szCs w:val="48"/>
          <w:lang w:val="en-US" w:eastAsia="zh-CN"/>
        </w:rPr>
        <w:t>一、专业介绍</w:t>
      </w:r>
    </w:p>
    <w:p>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根据2019劳动与社会保障专业本科生培养方案与2019公共事业管理专业本科生培养方案的课程设置，遵循《人文与法律学院本科生专业分流的实施办法》中的基本原则，建议 2020年公共管理类本科生专业分流采用Modul选择制办法。</w:t>
      </w:r>
    </w:p>
    <w:p>
      <w:pPr>
        <w:rPr>
          <w:rFonts w:ascii="Times New Roman" w:hAnsi="Times New Roman" w:cs="Times New Roman"/>
          <w:sz w:val="28"/>
          <w:szCs w:val="28"/>
        </w:rPr>
      </w:pPr>
      <w:r>
        <w:rPr>
          <w:rFonts w:ascii="Times New Roman" w:hAnsi="Times New Roman" w:cs="Times New Roman"/>
          <w:sz w:val="28"/>
          <w:szCs w:val="28"/>
        </w:rPr>
        <w:tab/>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696" w:type="dxa"/>
          </w:tcPr>
          <w:p>
            <w:pPr>
              <w:rPr>
                <w:rFonts w:ascii="Times New Roman" w:hAnsi="Times New Roman" w:cs="Times New Roman"/>
                <w:sz w:val="28"/>
                <w:szCs w:val="28"/>
              </w:rPr>
            </w:pPr>
            <w:r>
              <w:rPr>
                <w:rFonts w:ascii="Times New Roman" w:hAnsi="Times New Roman" w:cs="Times New Roman"/>
                <w:sz w:val="28"/>
                <w:szCs w:val="28"/>
              </w:rPr>
              <w:t>Modul 1</w:t>
            </w:r>
          </w:p>
        </w:tc>
        <w:tc>
          <w:tcPr>
            <w:tcW w:w="5670" w:type="dxa"/>
          </w:tcPr>
          <w:p>
            <w:pPr>
              <w:rPr>
                <w:rFonts w:ascii="Times New Roman" w:hAnsi="Times New Roman" w:cs="Times New Roman"/>
                <w:sz w:val="28"/>
                <w:szCs w:val="28"/>
              </w:rPr>
            </w:pPr>
            <w:r>
              <w:rPr>
                <w:rFonts w:ascii="Times New Roman" w:hAnsi="Times New Roman" w:cs="Times New Roman"/>
                <w:sz w:val="28"/>
                <w:szCs w:val="28"/>
              </w:rPr>
              <w:t>毕业后得到劳动与社会保障专业本科文凭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696" w:type="dxa"/>
          </w:tcPr>
          <w:p>
            <w:pPr>
              <w:rPr>
                <w:rFonts w:ascii="Times New Roman" w:hAnsi="Times New Roman" w:cs="Times New Roman"/>
                <w:sz w:val="28"/>
                <w:szCs w:val="28"/>
              </w:rPr>
            </w:pPr>
            <w:r>
              <w:rPr>
                <w:rFonts w:ascii="Times New Roman" w:hAnsi="Times New Roman" w:cs="Times New Roman"/>
                <w:sz w:val="28"/>
                <w:szCs w:val="28"/>
              </w:rPr>
              <w:t>Modul 2</w:t>
            </w:r>
          </w:p>
        </w:tc>
        <w:tc>
          <w:tcPr>
            <w:tcW w:w="5670" w:type="dxa"/>
          </w:tcPr>
          <w:p>
            <w:pPr>
              <w:rPr>
                <w:rFonts w:ascii="Times New Roman" w:hAnsi="Times New Roman" w:cs="Times New Roman"/>
                <w:sz w:val="28"/>
                <w:szCs w:val="28"/>
              </w:rPr>
            </w:pPr>
            <w:r>
              <w:rPr>
                <w:rFonts w:ascii="Times New Roman" w:hAnsi="Times New Roman" w:cs="Times New Roman"/>
                <w:sz w:val="28"/>
                <w:szCs w:val="28"/>
              </w:rPr>
              <w:t>毕业后得到劳动与社会保障专业本科文凭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696" w:type="dxa"/>
          </w:tcPr>
          <w:p>
            <w:pPr>
              <w:rPr>
                <w:rFonts w:ascii="Times New Roman" w:hAnsi="Times New Roman" w:cs="Times New Roman"/>
                <w:sz w:val="28"/>
                <w:szCs w:val="28"/>
              </w:rPr>
            </w:pPr>
            <w:r>
              <w:rPr>
                <w:rFonts w:ascii="Times New Roman" w:hAnsi="Times New Roman" w:cs="Times New Roman"/>
                <w:sz w:val="28"/>
                <w:szCs w:val="28"/>
              </w:rPr>
              <w:t>Modul 3</w:t>
            </w:r>
          </w:p>
        </w:tc>
        <w:tc>
          <w:tcPr>
            <w:tcW w:w="5670" w:type="dxa"/>
          </w:tcPr>
          <w:p>
            <w:pPr>
              <w:rPr>
                <w:rFonts w:ascii="Times New Roman" w:hAnsi="Times New Roman" w:cs="Times New Roman"/>
                <w:sz w:val="28"/>
                <w:szCs w:val="28"/>
              </w:rPr>
            </w:pPr>
            <w:r>
              <w:rPr>
                <w:rFonts w:ascii="Times New Roman" w:hAnsi="Times New Roman" w:cs="Times New Roman"/>
                <w:sz w:val="28"/>
                <w:szCs w:val="28"/>
              </w:rPr>
              <w:t>毕业后得到公共事业管理专业本科文凭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696" w:type="dxa"/>
          </w:tcPr>
          <w:p>
            <w:pPr>
              <w:rPr>
                <w:rFonts w:ascii="Times New Roman" w:hAnsi="Times New Roman" w:cs="Times New Roman"/>
                <w:sz w:val="28"/>
                <w:szCs w:val="28"/>
              </w:rPr>
            </w:pPr>
            <w:r>
              <w:rPr>
                <w:rFonts w:ascii="Times New Roman" w:hAnsi="Times New Roman" w:cs="Times New Roman"/>
                <w:sz w:val="28"/>
                <w:szCs w:val="28"/>
              </w:rPr>
              <w:t>Modul 4</w:t>
            </w:r>
          </w:p>
        </w:tc>
        <w:tc>
          <w:tcPr>
            <w:tcW w:w="5670" w:type="dxa"/>
          </w:tcPr>
          <w:p>
            <w:pPr>
              <w:rPr>
                <w:rFonts w:ascii="Times New Roman" w:hAnsi="Times New Roman" w:cs="Times New Roman"/>
                <w:sz w:val="28"/>
                <w:szCs w:val="28"/>
              </w:rPr>
            </w:pPr>
            <w:r>
              <w:rPr>
                <w:rFonts w:ascii="Times New Roman" w:hAnsi="Times New Roman" w:cs="Times New Roman"/>
                <w:sz w:val="28"/>
                <w:szCs w:val="28"/>
              </w:rPr>
              <w:t>毕业后得到公共事业管理专业本科文凭</w:t>
            </w:r>
          </w:p>
        </w:tc>
      </w:tr>
    </w:tbl>
    <w:p>
      <w:pPr>
        <w:rPr>
          <w:rFonts w:ascii="Times New Roman" w:hAnsi="Times New Roman" w:cs="Times New Roman"/>
          <w:sz w:val="28"/>
          <w:szCs w:val="28"/>
        </w:rPr>
      </w:pPr>
    </w:p>
    <w:p>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Modul的设置完全符合两个专业培养方案的基本要求。</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shd w:val="clear" w:color="auto" w:fill="F4B083" w:themeFill="accent2" w:themeFillTint="99"/>
          </w:tcPr>
          <w:p>
            <w:pPr>
              <w:rPr>
                <w:rFonts w:ascii="Times New Roman" w:hAnsi="Times New Roman" w:cs="Times New Roman"/>
                <w:sz w:val="28"/>
                <w:szCs w:val="28"/>
              </w:rPr>
            </w:pPr>
          </w:p>
        </w:tc>
        <w:tc>
          <w:tcPr>
            <w:tcW w:w="5670" w:type="dxa"/>
          </w:tcPr>
          <w:p>
            <w:pPr>
              <w:rPr>
                <w:rFonts w:ascii="Times New Roman" w:hAnsi="Times New Roman" w:cs="Times New Roman"/>
                <w:sz w:val="28"/>
                <w:szCs w:val="28"/>
              </w:rPr>
            </w:pPr>
            <w:r>
              <w:rPr>
                <w:rFonts w:ascii="Times New Roman" w:hAnsi="Times New Roman" w:cs="Times New Roman"/>
                <w:sz w:val="28"/>
                <w:szCs w:val="28"/>
              </w:rPr>
              <w:t>公共课程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shd w:val="clear" w:color="auto" w:fill="AEAAAA" w:themeFill="background2" w:themeFillShade="BF"/>
          </w:tcPr>
          <w:p>
            <w:pPr>
              <w:rPr>
                <w:rFonts w:ascii="Times New Roman" w:hAnsi="Times New Roman" w:cs="Times New Roman"/>
                <w:sz w:val="28"/>
                <w:szCs w:val="28"/>
              </w:rPr>
            </w:pPr>
          </w:p>
        </w:tc>
        <w:tc>
          <w:tcPr>
            <w:tcW w:w="5670" w:type="dxa"/>
          </w:tcPr>
          <w:p>
            <w:pPr>
              <w:rPr>
                <w:rFonts w:ascii="Times New Roman" w:hAnsi="Times New Roman" w:cs="Times New Roman"/>
                <w:sz w:val="28"/>
                <w:szCs w:val="28"/>
              </w:rPr>
            </w:pPr>
            <w:r>
              <w:rPr>
                <w:rFonts w:ascii="Times New Roman" w:hAnsi="Times New Roman" w:cs="Times New Roman"/>
                <w:sz w:val="28"/>
                <w:szCs w:val="28"/>
              </w:rPr>
              <w:t>两个专业共有课程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shd w:val="clear" w:color="auto" w:fill="9CC2E5" w:themeFill="accent1" w:themeFillTint="99"/>
          </w:tcPr>
          <w:p>
            <w:pPr>
              <w:rPr>
                <w:rFonts w:ascii="Times New Roman" w:hAnsi="Times New Roman" w:cs="Times New Roman"/>
                <w:sz w:val="28"/>
                <w:szCs w:val="28"/>
              </w:rPr>
            </w:pPr>
          </w:p>
        </w:tc>
        <w:tc>
          <w:tcPr>
            <w:tcW w:w="5670" w:type="dxa"/>
          </w:tcPr>
          <w:p>
            <w:pPr>
              <w:rPr>
                <w:rFonts w:ascii="Times New Roman" w:hAnsi="Times New Roman" w:cs="Times New Roman"/>
                <w:sz w:val="28"/>
                <w:szCs w:val="28"/>
              </w:rPr>
            </w:pPr>
            <w:r>
              <w:rPr>
                <w:rFonts w:ascii="Times New Roman" w:hAnsi="Times New Roman" w:cs="Times New Roman"/>
                <w:sz w:val="28"/>
                <w:szCs w:val="28"/>
              </w:rPr>
              <w:t>劳动与社会保障课程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shd w:val="clear" w:color="auto" w:fill="92D050"/>
          </w:tcPr>
          <w:p>
            <w:pPr>
              <w:rPr>
                <w:rFonts w:ascii="Times New Roman" w:hAnsi="Times New Roman" w:cs="Times New Roman"/>
                <w:sz w:val="28"/>
                <w:szCs w:val="28"/>
              </w:rPr>
            </w:pPr>
          </w:p>
        </w:tc>
        <w:tc>
          <w:tcPr>
            <w:tcW w:w="5670" w:type="dxa"/>
          </w:tcPr>
          <w:p>
            <w:pPr>
              <w:rPr>
                <w:rFonts w:ascii="Times New Roman" w:hAnsi="Times New Roman" w:cs="Times New Roman"/>
                <w:sz w:val="28"/>
                <w:szCs w:val="28"/>
              </w:rPr>
            </w:pPr>
            <w:r>
              <w:rPr>
                <w:rFonts w:ascii="Times New Roman" w:hAnsi="Times New Roman" w:cs="Times New Roman"/>
                <w:sz w:val="28"/>
                <w:szCs w:val="28"/>
              </w:rPr>
              <w:t>公共事业管理课程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shd w:val="clear" w:color="auto" w:fill="FFFF00"/>
          </w:tcPr>
          <w:p>
            <w:pPr>
              <w:rPr>
                <w:rFonts w:ascii="Times New Roman" w:hAnsi="Times New Roman" w:cs="Times New Roman"/>
                <w:sz w:val="28"/>
                <w:szCs w:val="28"/>
              </w:rPr>
            </w:pPr>
          </w:p>
        </w:tc>
        <w:tc>
          <w:tcPr>
            <w:tcW w:w="5670" w:type="dxa"/>
          </w:tcPr>
          <w:p>
            <w:pPr>
              <w:rPr>
                <w:rFonts w:ascii="Times New Roman" w:hAnsi="Times New Roman" w:cs="Times New Roman"/>
                <w:sz w:val="28"/>
                <w:szCs w:val="28"/>
              </w:rPr>
            </w:pPr>
            <w:r>
              <w:rPr>
                <w:rFonts w:ascii="Times New Roman" w:hAnsi="Times New Roman" w:cs="Times New Roman"/>
                <w:sz w:val="28"/>
                <w:szCs w:val="28"/>
              </w:rPr>
              <w:t>不同Modul之间的差异</w:t>
            </w:r>
          </w:p>
        </w:tc>
      </w:tr>
    </w:tbl>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r>
        <w:rPr>
          <w:rFonts w:ascii="Times New Roman" w:hAnsi="Times New Roman" w:cs="Times New Roman"/>
          <w:sz w:val="28"/>
          <w:szCs w:val="28"/>
        </w:rPr>
        <w:t>Modul 1</w:t>
      </w:r>
    </w:p>
    <w:tbl>
      <w:tblPr>
        <w:tblStyle w:val="6"/>
        <w:tblW w:w="9550" w:type="dxa"/>
        <w:tblInd w:w="-5" w:type="dxa"/>
        <w:tblLayout w:type="autofit"/>
        <w:tblCellMar>
          <w:top w:w="0" w:type="dxa"/>
          <w:left w:w="108" w:type="dxa"/>
          <w:bottom w:w="0" w:type="dxa"/>
          <w:right w:w="108" w:type="dxa"/>
        </w:tblCellMar>
      </w:tblPr>
      <w:tblGrid>
        <w:gridCol w:w="1276"/>
        <w:gridCol w:w="1276"/>
        <w:gridCol w:w="1134"/>
        <w:gridCol w:w="1134"/>
        <w:gridCol w:w="1417"/>
        <w:gridCol w:w="1560"/>
        <w:gridCol w:w="1099"/>
        <w:gridCol w:w="654"/>
      </w:tblGrid>
      <w:tr>
        <w:tblPrEx>
          <w:tblCellMar>
            <w:top w:w="0" w:type="dxa"/>
            <w:left w:w="108" w:type="dxa"/>
            <w:bottom w:w="0" w:type="dxa"/>
            <w:right w:w="108" w:type="dxa"/>
          </w:tblCellMar>
        </w:tblPrEx>
        <w:trPr>
          <w:trHeight w:val="271" w:hRule="atLeast"/>
        </w:trPr>
        <w:tc>
          <w:tcPr>
            <w:tcW w:w="2552" w:type="dxa"/>
            <w:gridSpan w:val="2"/>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一年级</w:t>
            </w:r>
          </w:p>
        </w:tc>
        <w:tc>
          <w:tcPr>
            <w:tcW w:w="2268" w:type="dxa"/>
            <w:gridSpan w:val="2"/>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二年级</w:t>
            </w:r>
          </w:p>
        </w:tc>
        <w:tc>
          <w:tcPr>
            <w:tcW w:w="2977" w:type="dxa"/>
            <w:gridSpan w:val="2"/>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三年级</w:t>
            </w:r>
          </w:p>
        </w:tc>
        <w:tc>
          <w:tcPr>
            <w:tcW w:w="1753" w:type="dxa"/>
            <w:gridSpan w:val="2"/>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四年级</w:t>
            </w:r>
          </w:p>
        </w:tc>
      </w:tr>
      <w:tr>
        <w:tblPrEx>
          <w:tblCellMar>
            <w:top w:w="0" w:type="dxa"/>
            <w:left w:w="108" w:type="dxa"/>
            <w:bottom w:w="0" w:type="dxa"/>
            <w:right w:w="108" w:type="dxa"/>
          </w:tblCellMar>
        </w:tblPrEx>
        <w:trPr>
          <w:trHeight w:val="271" w:hRule="atLeast"/>
        </w:trPr>
        <w:tc>
          <w:tcPr>
            <w:tcW w:w="1276"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学期1</w:t>
            </w:r>
          </w:p>
        </w:tc>
        <w:tc>
          <w:tcPr>
            <w:tcW w:w="1276"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学期2</w:t>
            </w:r>
          </w:p>
        </w:tc>
        <w:tc>
          <w:tcPr>
            <w:tcW w:w="113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学期3</w:t>
            </w:r>
          </w:p>
        </w:tc>
        <w:tc>
          <w:tcPr>
            <w:tcW w:w="113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学期4</w:t>
            </w:r>
          </w:p>
        </w:tc>
        <w:tc>
          <w:tcPr>
            <w:tcW w:w="1417"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学期5</w:t>
            </w:r>
          </w:p>
        </w:tc>
        <w:tc>
          <w:tcPr>
            <w:tcW w:w="15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学期6</w:t>
            </w:r>
          </w:p>
        </w:tc>
        <w:tc>
          <w:tcPr>
            <w:tcW w:w="1099"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学期7</w:t>
            </w:r>
          </w:p>
        </w:tc>
        <w:tc>
          <w:tcPr>
            <w:tcW w:w="654" w:type="dxa"/>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学期8</w:t>
            </w:r>
          </w:p>
        </w:tc>
      </w:tr>
      <w:tr>
        <w:tblPrEx>
          <w:tblCellMar>
            <w:top w:w="0" w:type="dxa"/>
            <w:left w:w="108" w:type="dxa"/>
            <w:bottom w:w="0" w:type="dxa"/>
            <w:right w:w="108" w:type="dxa"/>
          </w:tblCellMar>
        </w:tblPrEx>
        <w:trPr>
          <w:trHeight w:val="565" w:hRule="atLeast"/>
        </w:trPr>
        <w:tc>
          <w:tcPr>
            <w:tcW w:w="1276"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思想道德修养与法律基础</w:t>
            </w:r>
          </w:p>
        </w:tc>
        <w:tc>
          <w:tcPr>
            <w:tcW w:w="127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中国近代史</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纲要</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马克思主义原理</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7"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毛泽东思想和中国特色社会主义理论体系概论</w:t>
            </w:r>
          </w:p>
        </w:tc>
        <w:tc>
          <w:tcPr>
            <w:tcW w:w="1560"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毛泽东思想和中国特色社会主义理论体系概论</w:t>
            </w:r>
          </w:p>
        </w:tc>
        <w:tc>
          <w:tcPr>
            <w:tcW w:w="1099" w:type="dxa"/>
            <w:tcBorders>
              <w:top w:val="nil"/>
              <w:left w:val="nil"/>
              <w:bottom w:val="single" w:color="auto" w:sz="4" w:space="0"/>
              <w:right w:val="nil"/>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毕业实习</w:t>
            </w:r>
          </w:p>
        </w:tc>
        <w:tc>
          <w:tcPr>
            <w:tcW w:w="654" w:type="dxa"/>
            <w:tcBorders>
              <w:top w:val="single" w:color="auto" w:sz="4" w:space="0"/>
              <w:left w:val="single" w:color="auto" w:sz="4" w:space="0"/>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毕业设计</w:t>
            </w:r>
          </w:p>
        </w:tc>
      </w:tr>
      <w:tr>
        <w:tblPrEx>
          <w:tblCellMar>
            <w:top w:w="0" w:type="dxa"/>
            <w:left w:w="108" w:type="dxa"/>
            <w:bottom w:w="0" w:type="dxa"/>
            <w:right w:w="108" w:type="dxa"/>
          </w:tblCellMar>
        </w:tblPrEx>
        <w:trPr>
          <w:trHeight w:val="384" w:hRule="atLeast"/>
        </w:trPr>
        <w:tc>
          <w:tcPr>
            <w:tcW w:w="1276"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高等数学</w:t>
            </w:r>
          </w:p>
        </w:tc>
        <w:tc>
          <w:tcPr>
            <w:tcW w:w="127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线性代数</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概率论与</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数理统计</w:t>
            </w:r>
          </w:p>
        </w:tc>
        <w:tc>
          <w:tcPr>
            <w:tcW w:w="1417"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560"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099" w:type="dxa"/>
            <w:tcBorders>
              <w:top w:val="nil"/>
              <w:left w:val="nil"/>
              <w:bottom w:val="single" w:color="auto" w:sz="4" w:space="0"/>
              <w:right w:val="nil"/>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654" w:type="dxa"/>
            <w:tcBorders>
              <w:top w:val="nil"/>
              <w:left w:val="single" w:color="auto" w:sz="4" w:space="0"/>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　</w:t>
            </w:r>
          </w:p>
        </w:tc>
      </w:tr>
      <w:tr>
        <w:tblPrEx>
          <w:tblCellMar>
            <w:top w:w="0" w:type="dxa"/>
            <w:left w:w="108" w:type="dxa"/>
            <w:bottom w:w="0" w:type="dxa"/>
            <w:right w:w="108" w:type="dxa"/>
          </w:tblCellMar>
        </w:tblPrEx>
        <w:trPr>
          <w:trHeight w:val="384" w:hRule="atLeast"/>
        </w:trPr>
        <w:tc>
          <w:tcPr>
            <w:tcW w:w="1276"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大学计算机</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基础</w:t>
            </w:r>
          </w:p>
        </w:tc>
        <w:tc>
          <w:tcPr>
            <w:tcW w:w="127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办公数据</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处理与分析</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7"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560"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099" w:type="dxa"/>
            <w:tcBorders>
              <w:top w:val="nil"/>
              <w:left w:val="nil"/>
              <w:bottom w:val="single" w:color="auto" w:sz="4" w:space="0"/>
              <w:right w:val="nil"/>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654" w:type="dxa"/>
            <w:tcBorders>
              <w:top w:val="nil"/>
              <w:left w:val="single" w:color="auto" w:sz="4" w:space="0"/>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　</w:t>
            </w:r>
          </w:p>
        </w:tc>
      </w:tr>
      <w:tr>
        <w:tblPrEx>
          <w:tblCellMar>
            <w:top w:w="0" w:type="dxa"/>
            <w:left w:w="108" w:type="dxa"/>
            <w:bottom w:w="0" w:type="dxa"/>
            <w:right w:w="108" w:type="dxa"/>
          </w:tblCellMar>
        </w:tblPrEx>
        <w:trPr>
          <w:trHeight w:val="271" w:hRule="atLeast"/>
        </w:trPr>
        <w:tc>
          <w:tcPr>
            <w:tcW w:w="1276"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政治学</w:t>
            </w:r>
          </w:p>
        </w:tc>
        <w:tc>
          <w:tcPr>
            <w:tcW w:w="127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7"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560"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099" w:type="dxa"/>
            <w:tcBorders>
              <w:top w:val="nil"/>
              <w:left w:val="nil"/>
              <w:bottom w:val="single" w:color="auto" w:sz="4" w:space="0"/>
              <w:right w:val="nil"/>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654" w:type="dxa"/>
            <w:tcBorders>
              <w:top w:val="nil"/>
              <w:left w:val="single" w:color="auto" w:sz="4" w:space="0"/>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　</w:t>
            </w:r>
          </w:p>
        </w:tc>
      </w:tr>
      <w:tr>
        <w:tblPrEx>
          <w:tblCellMar>
            <w:top w:w="0" w:type="dxa"/>
            <w:left w:w="108" w:type="dxa"/>
            <w:bottom w:w="0" w:type="dxa"/>
            <w:right w:w="108" w:type="dxa"/>
          </w:tblCellMar>
        </w:tblPrEx>
        <w:trPr>
          <w:trHeight w:val="271" w:hRule="atLeast"/>
        </w:trPr>
        <w:tc>
          <w:tcPr>
            <w:tcW w:w="1276"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形势政治A</w:t>
            </w:r>
          </w:p>
        </w:tc>
        <w:tc>
          <w:tcPr>
            <w:tcW w:w="127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形势政治B</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7"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形势政治C</w:t>
            </w:r>
          </w:p>
        </w:tc>
        <w:tc>
          <w:tcPr>
            <w:tcW w:w="1560"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099" w:type="dxa"/>
            <w:tcBorders>
              <w:top w:val="nil"/>
              <w:left w:val="nil"/>
              <w:bottom w:val="single" w:color="auto" w:sz="4" w:space="0"/>
              <w:right w:val="nil"/>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形势政治D</w:t>
            </w:r>
          </w:p>
        </w:tc>
        <w:tc>
          <w:tcPr>
            <w:tcW w:w="654" w:type="dxa"/>
            <w:tcBorders>
              <w:top w:val="nil"/>
              <w:left w:val="single" w:color="auto" w:sz="4" w:space="0"/>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　</w:t>
            </w:r>
          </w:p>
        </w:tc>
      </w:tr>
      <w:tr>
        <w:tblPrEx>
          <w:tblCellMar>
            <w:top w:w="0" w:type="dxa"/>
            <w:left w:w="108" w:type="dxa"/>
            <w:bottom w:w="0" w:type="dxa"/>
            <w:right w:w="108" w:type="dxa"/>
          </w:tblCellMar>
        </w:tblPrEx>
        <w:trPr>
          <w:trHeight w:val="542" w:hRule="atLeast"/>
        </w:trPr>
        <w:tc>
          <w:tcPr>
            <w:tcW w:w="1276"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大学英语</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基础A</w:t>
            </w:r>
          </w:p>
        </w:tc>
        <w:tc>
          <w:tcPr>
            <w:tcW w:w="127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大学英语</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基础B</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大学英语</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拓展B</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大学英语</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拓展A</w:t>
            </w:r>
          </w:p>
        </w:tc>
        <w:tc>
          <w:tcPr>
            <w:tcW w:w="1417"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560"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099" w:type="dxa"/>
            <w:tcBorders>
              <w:top w:val="nil"/>
              <w:left w:val="nil"/>
              <w:bottom w:val="single" w:color="auto" w:sz="4" w:space="0"/>
              <w:right w:val="nil"/>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654" w:type="dxa"/>
            <w:tcBorders>
              <w:top w:val="nil"/>
              <w:left w:val="single" w:color="auto" w:sz="4" w:space="0"/>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　</w:t>
            </w:r>
          </w:p>
        </w:tc>
      </w:tr>
      <w:tr>
        <w:tblPrEx>
          <w:tblCellMar>
            <w:top w:w="0" w:type="dxa"/>
            <w:left w:w="108" w:type="dxa"/>
            <w:bottom w:w="0" w:type="dxa"/>
            <w:right w:w="108" w:type="dxa"/>
          </w:tblCellMar>
        </w:tblPrEx>
        <w:trPr>
          <w:trHeight w:val="271" w:hRule="atLeast"/>
        </w:trPr>
        <w:tc>
          <w:tcPr>
            <w:tcW w:w="1276"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军事理论</w:t>
            </w:r>
          </w:p>
        </w:tc>
        <w:tc>
          <w:tcPr>
            <w:tcW w:w="127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军事理论</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7"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560"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099" w:type="dxa"/>
            <w:tcBorders>
              <w:top w:val="nil"/>
              <w:left w:val="nil"/>
              <w:bottom w:val="single" w:color="auto" w:sz="4" w:space="0"/>
              <w:right w:val="nil"/>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654" w:type="dxa"/>
            <w:tcBorders>
              <w:top w:val="nil"/>
              <w:left w:val="single" w:color="auto" w:sz="4" w:space="0"/>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　</w:t>
            </w:r>
          </w:p>
        </w:tc>
      </w:tr>
      <w:tr>
        <w:tblPrEx>
          <w:tblCellMar>
            <w:top w:w="0" w:type="dxa"/>
            <w:left w:w="108" w:type="dxa"/>
            <w:bottom w:w="0" w:type="dxa"/>
            <w:right w:w="108" w:type="dxa"/>
          </w:tblCellMar>
        </w:tblPrEx>
        <w:trPr>
          <w:trHeight w:val="271" w:hRule="atLeast"/>
        </w:trPr>
        <w:tc>
          <w:tcPr>
            <w:tcW w:w="1276"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大学语文A</w:t>
            </w:r>
          </w:p>
        </w:tc>
        <w:tc>
          <w:tcPr>
            <w:tcW w:w="127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大学语文B</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7"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560"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099" w:type="dxa"/>
            <w:tcBorders>
              <w:top w:val="nil"/>
              <w:left w:val="nil"/>
              <w:bottom w:val="single" w:color="auto" w:sz="4" w:space="0"/>
              <w:right w:val="nil"/>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654" w:type="dxa"/>
            <w:tcBorders>
              <w:top w:val="nil"/>
              <w:left w:val="single" w:color="auto" w:sz="4" w:space="0"/>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　</w:t>
            </w:r>
          </w:p>
        </w:tc>
      </w:tr>
      <w:tr>
        <w:tblPrEx>
          <w:tblCellMar>
            <w:top w:w="0" w:type="dxa"/>
            <w:left w:w="108" w:type="dxa"/>
            <w:bottom w:w="0" w:type="dxa"/>
            <w:right w:w="108" w:type="dxa"/>
          </w:tblCellMar>
        </w:tblPrEx>
        <w:trPr>
          <w:trHeight w:val="271" w:hRule="atLeast"/>
        </w:trPr>
        <w:tc>
          <w:tcPr>
            <w:tcW w:w="1276"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体育</w:t>
            </w:r>
          </w:p>
        </w:tc>
        <w:tc>
          <w:tcPr>
            <w:tcW w:w="127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体育</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体育</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体育</w:t>
            </w:r>
          </w:p>
        </w:tc>
        <w:tc>
          <w:tcPr>
            <w:tcW w:w="1417"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560"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099" w:type="dxa"/>
            <w:tcBorders>
              <w:top w:val="nil"/>
              <w:left w:val="nil"/>
              <w:bottom w:val="single" w:color="auto" w:sz="4" w:space="0"/>
              <w:right w:val="nil"/>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654" w:type="dxa"/>
            <w:tcBorders>
              <w:top w:val="nil"/>
              <w:left w:val="single" w:color="auto" w:sz="4" w:space="0"/>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　</w:t>
            </w:r>
          </w:p>
        </w:tc>
      </w:tr>
      <w:tr>
        <w:tblPrEx>
          <w:tblCellMar>
            <w:top w:w="0" w:type="dxa"/>
            <w:left w:w="108" w:type="dxa"/>
            <w:bottom w:w="0" w:type="dxa"/>
            <w:right w:w="108" w:type="dxa"/>
          </w:tblCellMar>
        </w:tblPrEx>
        <w:trPr>
          <w:trHeight w:val="271" w:hRule="atLeast"/>
        </w:trPr>
        <w:tc>
          <w:tcPr>
            <w:tcW w:w="1276"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76"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社会统计学</w:t>
            </w:r>
          </w:p>
        </w:tc>
        <w:tc>
          <w:tcPr>
            <w:tcW w:w="1134"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社会调查</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方法</w:t>
            </w:r>
          </w:p>
        </w:tc>
        <w:tc>
          <w:tcPr>
            <w:tcW w:w="113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7"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5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099" w:type="dxa"/>
            <w:tcBorders>
              <w:top w:val="nil"/>
              <w:left w:val="nil"/>
              <w:bottom w:val="single" w:color="auto" w:sz="4" w:space="0"/>
              <w:right w:val="nil"/>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电子政务</w:t>
            </w:r>
          </w:p>
        </w:tc>
        <w:tc>
          <w:tcPr>
            <w:tcW w:w="654" w:type="dxa"/>
            <w:tcBorders>
              <w:top w:val="nil"/>
              <w:left w:val="single" w:color="auto" w:sz="4" w:space="0"/>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　</w:t>
            </w:r>
          </w:p>
        </w:tc>
      </w:tr>
      <w:tr>
        <w:tblPrEx>
          <w:tblCellMar>
            <w:top w:w="0" w:type="dxa"/>
            <w:left w:w="108" w:type="dxa"/>
            <w:bottom w:w="0" w:type="dxa"/>
            <w:right w:w="108" w:type="dxa"/>
          </w:tblCellMar>
        </w:tblPrEx>
        <w:trPr>
          <w:trHeight w:val="271" w:hRule="atLeast"/>
        </w:trPr>
        <w:tc>
          <w:tcPr>
            <w:tcW w:w="1276"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76"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社会学</w:t>
            </w:r>
          </w:p>
        </w:tc>
        <w:tc>
          <w:tcPr>
            <w:tcW w:w="113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7"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560"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社会心理学导论</w:t>
            </w:r>
          </w:p>
        </w:tc>
        <w:tc>
          <w:tcPr>
            <w:tcW w:w="1099" w:type="dxa"/>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654" w:type="dxa"/>
            <w:tcBorders>
              <w:top w:val="nil"/>
              <w:left w:val="single" w:color="auto" w:sz="4" w:space="0"/>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　</w:t>
            </w:r>
          </w:p>
        </w:tc>
      </w:tr>
      <w:tr>
        <w:tblPrEx>
          <w:tblCellMar>
            <w:top w:w="0" w:type="dxa"/>
            <w:left w:w="108" w:type="dxa"/>
            <w:bottom w:w="0" w:type="dxa"/>
            <w:right w:w="108" w:type="dxa"/>
          </w:tblCellMar>
        </w:tblPrEx>
        <w:trPr>
          <w:trHeight w:val="271" w:hRule="atLeast"/>
        </w:trPr>
        <w:tc>
          <w:tcPr>
            <w:tcW w:w="1276"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76"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经济学原理</w:t>
            </w:r>
          </w:p>
        </w:tc>
        <w:tc>
          <w:tcPr>
            <w:tcW w:w="113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7"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560"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劳动经济学</w:t>
            </w:r>
          </w:p>
        </w:tc>
        <w:tc>
          <w:tcPr>
            <w:tcW w:w="1099" w:type="dxa"/>
            <w:tcBorders>
              <w:top w:val="nil"/>
              <w:left w:val="nil"/>
              <w:bottom w:val="single" w:color="auto" w:sz="4" w:space="0"/>
              <w:right w:val="nil"/>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发展经济学</w:t>
            </w:r>
          </w:p>
        </w:tc>
        <w:tc>
          <w:tcPr>
            <w:tcW w:w="654" w:type="dxa"/>
            <w:tcBorders>
              <w:top w:val="nil"/>
              <w:left w:val="single" w:color="auto" w:sz="4" w:space="0"/>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　</w:t>
            </w:r>
          </w:p>
        </w:tc>
      </w:tr>
      <w:tr>
        <w:tblPrEx>
          <w:tblCellMar>
            <w:top w:w="0" w:type="dxa"/>
            <w:left w:w="108" w:type="dxa"/>
            <w:bottom w:w="0" w:type="dxa"/>
            <w:right w:w="108" w:type="dxa"/>
          </w:tblCellMar>
        </w:tblPrEx>
        <w:trPr>
          <w:trHeight w:val="271" w:hRule="atLeast"/>
        </w:trPr>
        <w:tc>
          <w:tcPr>
            <w:tcW w:w="1276"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76"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人力资源</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管理</w:t>
            </w:r>
          </w:p>
        </w:tc>
        <w:tc>
          <w:tcPr>
            <w:tcW w:w="113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7"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绩效管理</w:t>
            </w:r>
          </w:p>
        </w:tc>
        <w:tc>
          <w:tcPr>
            <w:tcW w:w="1560"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公务员制度</w:t>
            </w:r>
          </w:p>
        </w:tc>
        <w:tc>
          <w:tcPr>
            <w:tcW w:w="1099" w:type="dxa"/>
            <w:tcBorders>
              <w:top w:val="nil"/>
              <w:left w:val="nil"/>
              <w:bottom w:val="single" w:color="auto" w:sz="4" w:space="0"/>
              <w:right w:val="nil"/>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薪酬管理</w:t>
            </w:r>
          </w:p>
        </w:tc>
        <w:tc>
          <w:tcPr>
            <w:tcW w:w="654" w:type="dxa"/>
            <w:tcBorders>
              <w:top w:val="nil"/>
              <w:left w:val="single" w:color="auto" w:sz="4" w:space="0"/>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　</w:t>
            </w:r>
          </w:p>
        </w:tc>
      </w:tr>
      <w:tr>
        <w:tblPrEx>
          <w:tblCellMar>
            <w:top w:w="0" w:type="dxa"/>
            <w:left w:w="108" w:type="dxa"/>
            <w:bottom w:w="0" w:type="dxa"/>
            <w:right w:w="108" w:type="dxa"/>
          </w:tblCellMar>
        </w:tblPrEx>
        <w:trPr>
          <w:trHeight w:val="384" w:hRule="atLeast"/>
        </w:trPr>
        <w:tc>
          <w:tcPr>
            <w:tcW w:w="1276"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76"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FFFF0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公共关系学(学期不同)</w:t>
            </w:r>
          </w:p>
        </w:tc>
        <w:tc>
          <w:tcPr>
            <w:tcW w:w="1417" w:type="dxa"/>
            <w:tcBorders>
              <w:top w:val="nil"/>
              <w:left w:val="nil"/>
              <w:bottom w:val="single" w:color="auto" w:sz="4" w:space="0"/>
              <w:right w:val="single" w:color="auto" w:sz="4" w:space="0"/>
            </w:tcBorders>
            <w:shd w:val="clear" w:color="000000" w:fill="FFFF0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项目管理</w:t>
            </w:r>
          </w:p>
        </w:tc>
        <w:tc>
          <w:tcPr>
            <w:tcW w:w="15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099" w:type="dxa"/>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654" w:type="dxa"/>
            <w:tcBorders>
              <w:top w:val="nil"/>
              <w:left w:val="single" w:color="auto" w:sz="4" w:space="0"/>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　</w:t>
            </w:r>
          </w:p>
        </w:tc>
      </w:tr>
      <w:tr>
        <w:tblPrEx>
          <w:tblCellMar>
            <w:top w:w="0" w:type="dxa"/>
            <w:left w:w="108" w:type="dxa"/>
            <w:bottom w:w="0" w:type="dxa"/>
            <w:right w:w="108" w:type="dxa"/>
          </w:tblCellMar>
        </w:tblPrEx>
        <w:trPr>
          <w:trHeight w:val="271" w:hRule="atLeast"/>
        </w:trPr>
        <w:tc>
          <w:tcPr>
            <w:tcW w:w="1276" w:type="dxa"/>
            <w:tcBorders>
              <w:top w:val="nil"/>
              <w:left w:val="single" w:color="auto" w:sz="4" w:space="0"/>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管理学</w:t>
            </w:r>
          </w:p>
        </w:tc>
        <w:tc>
          <w:tcPr>
            <w:tcW w:w="1276"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公共管理学</w:t>
            </w:r>
          </w:p>
        </w:tc>
        <w:tc>
          <w:tcPr>
            <w:tcW w:w="113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7"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560"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公共政策分析</w:t>
            </w:r>
          </w:p>
        </w:tc>
        <w:tc>
          <w:tcPr>
            <w:tcW w:w="1099" w:type="dxa"/>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654" w:type="dxa"/>
            <w:tcBorders>
              <w:top w:val="nil"/>
              <w:left w:val="single" w:color="auto" w:sz="4" w:space="0"/>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　</w:t>
            </w:r>
          </w:p>
        </w:tc>
      </w:tr>
      <w:tr>
        <w:tblPrEx>
          <w:tblCellMar>
            <w:top w:w="0" w:type="dxa"/>
            <w:left w:w="108" w:type="dxa"/>
            <w:bottom w:w="0" w:type="dxa"/>
            <w:right w:w="108" w:type="dxa"/>
          </w:tblCellMar>
        </w:tblPrEx>
        <w:trPr>
          <w:trHeight w:val="271" w:hRule="atLeast"/>
        </w:trPr>
        <w:tc>
          <w:tcPr>
            <w:tcW w:w="1276"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76"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创业基础</w:t>
            </w:r>
          </w:p>
        </w:tc>
        <w:tc>
          <w:tcPr>
            <w:tcW w:w="113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7" w:type="dxa"/>
            <w:tcBorders>
              <w:top w:val="nil"/>
              <w:left w:val="nil"/>
              <w:bottom w:val="single" w:color="auto" w:sz="4" w:space="0"/>
              <w:right w:val="single" w:color="auto" w:sz="4" w:space="0"/>
            </w:tcBorders>
            <w:shd w:val="clear" w:color="000000" w:fill="FFFF0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财务管理学</w:t>
            </w:r>
          </w:p>
        </w:tc>
        <w:tc>
          <w:tcPr>
            <w:tcW w:w="15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099" w:type="dxa"/>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654" w:type="dxa"/>
            <w:tcBorders>
              <w:top w:val="nil"/>
              <w:left w:val="single" w:color="auto" w:sz="4" w:space="0"/>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　</w:t>
            </w:r>
          </w:p>
        </w:tc>
      </w:tr>
      <w:tr>
        <w:tblPrEx>
          <w:tblCellMar>
            <w:top w:w="0" w:type="dxa"/>
            <w:left w:w="108" w:type="dxa"/>
            <w:bottom w:w="0" w:type="dxa"/>
            <w:right w:w="108" w:type="dxa"/>
          </w:tblCellMar>
        </w:tblPrEx>
        <w:trPr>
          <w:trHeight w:val="440" w:hRule="atLeast"/>
        </w:trPr>
        <w:tc>
          <w:tcPr>
            <w:tcW w:w="1276"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76"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社会保障</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概论</w:t>
            </w:r>
          </w:p>
        </w:tc>
        <w:tc>
          <w:tcPr>
            <w:tcW w:w="1134"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职业生涯</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管理</w:t>
            </w:r>
          </w:p>
        </w:tc>
        <w:tc>
          <w:tcPr>
            <w:tcW w:w="1417"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组织行为学</w:t>
            </w:r>
          </w:p>
        </w:tc>
        <w:tc>
          <w:tcPr>
            <w:tcW w:w="15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099" w:type="dxa"/>
            <w:tcBorders>
              <w:top w:val="nil"/>
              <w:left w:val="nil"/>
              <w:bottom w:val="single" w:color="auto" w:sz="4" w:space="0"/>
              <w:right w:val="nil"/>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专业外语</w:t>
            </w:r>
          </w:p>
        </w:tc>
        <w:tc>
          <w:tcPr>
            <w:tcW w:w="654" w:type="dxa"/>
            <w:tcBorders>
              <w:top w:val="nil"/>
              <w:left w:val="single" w:color="auto" w:sz="4" w:space="0"/>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　</w:t>
            </w:r>
          </w:p>
        </w:tc>
      </w:tr>
      <w:tr>
        <w:tblPrEx>
          <w:tblCellMar>
            <w:top w:w="0" w:type="dxa"/>
            <w:left w:w="108" w:type="dxa"/>
            <w:bottom w:w="0" w:type="dxa"/>
            <w:right w:w="108" w:type="dxa"/>
          </w:tblCellMar>
        </w:tblPrEx>
        <w:trPr>
          <w:trHeight w:val="384" w:hRule="atLeast"/>
        </w:trPr>
        <w:tc>
          <w:tcPr>
            <w:tcW w:w="1276"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76"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劳动关系学</w:t>
            </w:r>
          </w:p>
        </w:tc>
        <w:tc>
          <w:tcPr>
            <w:tcW w:w="1417"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行政法与</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行政诉讼</w:t>
            </w:r>
          </w:p>
        </w:tc>
        <w:tc>
          <w:tcPr>
            <w:tcW w:w="15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099" w:type="dxa"/>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654" w:type="dxa"/>
            <w:tcBorders>
              <w:top w:val="nil"/>
              <w:left w:val="single" w:color="auto" w:sz="4" w:space="0"/>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　</w:t>
            </w:r>
          </w:p>
        </w:tc>
      </w:tr>
      <w:tr>
        <w:tblPrEx>
          <w:tblCellMar>
            <w:top w:w="0" w:type="dxa"/>
            <w:left w:w="108" w:type="dxa"/>
            <w:bottom w:w="0" w:type="dxa"/>
            <w:right w:w="108" w:type="dxa"/>
          </w:tblCellMar>
        </w:tblPrEx>
        <w:trPr>
          <w:trHeight w:val="384" w:hRule="atLeast"/>
        </w:trPr>
        <w:tc>
          <w:tcPr>
            <w:tcW w:w="1276"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76"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会计学</w:t>
            </w:r>
          </w:p>
        </w:tc>
        <w:tc>
          <w:tcPr>
            <w:tcW w:w="1417"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社会保障</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基金管理</w:t>
            </w:r>
          </w:p>
        </w:tc>
        <w:tc>
          <w:tcPr>
            <w:tcW w:w="1560"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审计学</w:t>
            </w:r>
          </w:p>
        </w:tc>
        <w:tc>
          <w:tcPr>
            <w:tcW w:w="1099" w:type="dxa"/>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654" w:type="dxa"/>
            <w:tcBorders>
              <w:top w:val="nil"/>
              <w:left w:val="single" w:color="auto" w:sz="4" w:space="0"/>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　</w:t>
            </w:r>
          </w:p>
        </w:tc>
      </w:tr>
      <w:tr>
        <w:tblPrEx>
          <w:tblCellMar>
            <w:top w:w="0" w:type="dxa"/>
            <w:left w:w="108" w:type="dxa"/>
            <w:bottom w:w="0" w:type="dxa"/>
            <w:right w:w="108" w:type="dxa"/>
          </w:tblCellMar>
        </w:tblPrEx>
        <w:trPr>
          <w:trHeight w:val="384" w:hRule="atLeast"/>
        </w:trPr>
        <w:tc>
          <w:tcPr>
            <w:tcW w:w="1276"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76"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社会福利</w:t>
            </w:r>
          </w:p>
        </w:tc>
        <w:tc>
          <w:tcPr>
            <w:tcW w:w="1417"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社会保障</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政策评估</w:t>
            </w:r>
          </w:p>
        </w:tc>
        <w:tc>
          <w:tcPr>
            <w:tcW w:w="1560"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社会保障国际比较</w:t>
            </w:r>
          </w:p>
        </w:tc>
        <w:tc>
          <w:tcPr>
            <w:tcW w:w="1099" w:type="dxa"/>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654" w:type="dxa"/>
            <w:tcBorders>
              <w:top w:val="nil"/>
              <w:left w:val="single" w:color="auto" w:sz="4" w:space="0"/>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　</w:t>
            </w:r>
          </w:p>
        </w:tc>
      </w:tr>
      <w:tr>
        <w:tblPrEx>
          <w:tblCellMar>
            <w:top w:w="0" w:type="dxa"/>
            <w:left w:w="108" w:type="dxa"/>
            <w:bottom w:w="0" w:type="dxa"/>
            <w:right w:w="108" w:type="dxa"/>
          </w:tblCellMar>
        </w:tblPrEx>
        <w:trPr>
          <w:trHeight w:val="384" w:hRule="atLeast"/>
        </w:trPr>
        <w:tc>
          <w:tcPr>
            <w:tcW w:w="1276"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76"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社会政策</w:t>
            </w:r>
          </w:p>
        </w:tc>
        <w:tc>
          <w:tcPr>
            <w:tcW w:w="1417"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保险原理</w:t>
            </w:r>
          </w:p>
        </w:tc>
        <w:tc>
          <w:tcPr>
            <w:tcW w:w="1560"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社会保障理论前沿</w:t>
            </w:r>
          </w:p>
        </w:tc>
        <w:tc>
          <w:tcPr>
            <w:tcW w:w="1099" w:type="dxa"/>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654" w:type="dxa"/>
            <w:tcBorders>
              <w:top w:val="nil"/>
              <w:left w:val="single" w:color="auto" w:sz="4" w:space="0"/>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　</w:t>
            </w:r>
          </w:p>
        </w:tc>
      </w:tr>
      <w:tr>
        <w:tblPrEx>
          <w:tblCellMar>
            <w:top w:w="0" w:type="dxa"/>
            <w:left w:w="108" w:type="dxa"/>
            <w:bottom w:w="0" w:type="dxa"/>
            <w:right w:w="108" w:type="dxa"/>
          </w:tblCellMar>
        </w:tblPrEx>
        <w:trPr>
          <w:trHeight w:val="271" w:hRule="atLeast"/>
        </w:trPr>
        <w:tc>
          <w:tcPr>
            <w:tcW w:w="1276" w:type="dxa"/>
            <w:tcBorders>
              <w:top w:val="nil"/>
              <w:left w:val="single" w:color="auto" w:sz="4" w:space="0"/>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心理健康</w:t>
            </w:r>
          </w:p>
        </w:tc>
        <w:tc>
          <w:tcPr>
            <w:tcW w:w="1276"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心理健康</w:t>
            </w:r>
          </w:p>
        </w:tc>
        <w:tc>
          <w:tcPr>
            <w:tcW w:w="113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金融学</w:t>
            </w:r>
          </w:p>
        </w:tc>
        <w:tc>
          <w:tcPr>
            <w:tcW w:w="1417"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老龄政策分析</w:t>
            </w:r>
          </w:p>
        </w:tc>
        <w:tc>
          <w:tcPr>
            <w:tcW w:w="1560"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社会保险</w:t>
            </w:r>
          </w:p>
        </w:tc>
        <w:tc>
          <w:tcPr>
            <w:tcW w:w="1099" w:type="dxa"/>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654" w:type="dxa"/>
            <w:tcBorders>
              <w:top w:val="nil"/>
              <w:left w:val="single" w:color="auto" w:sz="4" w:space="0"/>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　</w:t>
            </w:r>
          </w:p>
        </w:tc>
      </w:tr>
      <w:tr>
        <w:tblPrEx>
          <w:tblCellMar>
            <w:top w:w="0" w:type="dxa"/>
            <w:left w:w="108" w:type="dxa"/>
            <w:bottom w:w="0" w:type="dxa"/>
            <w:right w:w="108" w:type="dxa"/>
          </w:tblCellMar>
        </w:tblPrEx>
        <w:trPr>
          <w:trHeight w:val="474" w:hRule="atLeast"/>
        </w:trPr>
        <w:tc>
          <w:tcPr>
            <w:tcW w:w="1276" w:type="dxa"/>
            <w:tcBorders>
              <w:top w:val="nil"/>
              <w:left w:val="single" w:color="auto" w:sz="4" w:space="0"/>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创业基础</w:t>
            </w:r>
          </w:p>
        </w:tc>
        <w:tc>
          <w:tcPr>
            <w:tcW w:w="1276"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职业发展与</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就业指导A</w:t>
            </w:r>
          </w:p>
        </w:tc>
        <w:tc>
          <w:tcPr>
            <w:tcW w:w="113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职业发展与就业指导B</w:t>
            </w:r>
          </w:p>
        </w:tc>
        <w:tc>
          <w:tcPr>
            <w:tcW w:w="1417"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政府投资学</w:t>
            </w:r>
          </w:p>
        </w:tc>
        <w:tc>
          <w:tcPr>
            <w:tcW w:w="1560"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社会工作概论</w:t>
            </w:r>
          </w:p>
        </w:tc>
        <w:tc>
          <w:tcPr>
            <w:tcW w:w="1099" w:type="dxa"/>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654" w:type="dxa"/>
            <w:tcBorders>
              <w:top w:val="nil"/>
              <w:left w:val="single" w:color="auto" w:sz="4" w:space="0"/>
              <w:bottom w:val="single" w:color="auto" w:sz="4" w:space="0"/>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8"/>
                <w:szCs w:val="18"/>
                <w:lang w:val="en-US"/>
              </w:rPr>
            </w:pPr>
            <w:r>
              <w:rPr>
                <w:rFonts w:ascii="Times New Roman" w:hAnsi="Times New Roman" w:eastAsia="宋体" w:cs="Times New Roman"/>
                <w:color w:val="000000"/>
                <w:kern w:val="0"/>
                <w:sz w:val="18"/>
                <w:szCs w:val="18"/>
                <w:lang w:val="en-US"/>
              </w:rPr>
              <w:t>　</w:t>
            </w:r>
          </w:p>
        </w:tc>
      </w:tr>
    </w:tbl>
    <w:p>
      <w:pPr>
        <w:rPr>
          <w:rFonts w:ascii="Times New Roman" w:hAnsi="Times New Roman" w:cs="Times New Roman"/>
          <w:sz w:val="24"/>
          <w:szCs w:val="28"/>
        </w:rPr>
      </w:pPr>
    </w:p>
    <w:p>
      <w:pPr>
        <w:rPr>
          <w:rFonts w:ascii="Times New Roman" w:hAnsi="Times New Roman" w:cs="Times New Roman"/>
          <w:sz w:val="28"/>
          <w:szCs w:val="28"/>
        </w:rPr>
      </w:pPr>
    </w:p>
    <w:p>
      <w:pPr>
        <w:rPr>
          <w:rFonts w:ascii="Times New Roman" w:hAnsi="Times New Roman" w:cs="Times New Roman"/>
          <w:sz w:val="28"/>
          <w:szCs w:val="28"/>
        </w:rPr>
      </w:pPr>
      <w:r>
        <w:rPr>
          <w:rFonts w:ascii="Times New Roman" w:hAnsi="Times New Roman" w:cs="Times New Roman"/>
          <w:sz w:val="28"/>
          <w:szCs w:val="28"/>
        </w:rPr>
        <w:t>Modul 2</w:t>
      </w:r>
    </w:p>
    <w:tbl>
      <w:tblPr>
        <w:tblStyle w:val="6"/>
        <w:tblW w:w="9356" w:type="dxa"/>
        <w:tblInd w:w="-5" w:type="dxa"/>
        <w:tblLayout w:type="autofit"/>
        <w:tblCellMar>
          <w:top w:w="0" w:type="dxa"/>
          <w:left w:w="108" w:type="dxa"/>
          <w:bottom w:w="0" w:type="dxa"/>
          <w:right w:w="108" w:type="dxa"/>
        </w:tblCellMar>
      </w:tblPr>
      <w:tblGrid>
        <w:gridCol w:w="1276"/>
        <w:gridCol w:w="1110"/>
        <w:gridCol w:w="1158"/>
        <w:gridCol w:w="1134"/>
        <w:gridCol w:w="1418"/>
        <w:gridCol w:w="1417"/>
        <w:gridCol w:w="1084"/>
        <w:gridCol w:w="759"/>
      </w:tblGrid>
      <w:tr>
        <w:tblPrEx>
          <w:tblCellMar>
            <w:top w:w="0" w:type="dxa"/>
            <w:left w:w="108" w:type="dxa"/>
            <w:bottom w:w="0" w:type="dxa"/>
            <w:right w:w="108" w:type="dxa"/>
          </w:tblCellMar>
        </w:tblPrEx>
        <w:trPr>
          <w:trHeight w:val="272" w:hRule="atLeast"/>
        </w:trPr>
        <w:tc>
          <w:tcPr>
            <w:tcW w:w="2386" w:type="dxa"/>
            <w:gridSpan w:val="2"/>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一年级</w:t>
            </w:r>
          </w:p>
        </w:tc>
        <w:tc>
          <w:tcPr>
            <w:tcW w:w="2292" w:type="dxa"/>
            <w:gridSpan w:val="2"/>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二年级</w:t>
            </w:r>
          </w:p>
        </w:tc>
        <w:tc>
          <w:tcPr>
            <w:tcW w:w="2835" w:type="dxa"/>
            <w:gridSpan w:val="2"/>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三年级</w:t>
            </w:r>
          </w:p>
        </w:tc>
        <w:tc>
          <w:tcPr>
            <w:tcW w:w="1843" w:type="dxa"/>
            <w:gridSpan w:val="2"/>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四年级</w:t>
            </w:r>
          </w:p>
        </w:tc>
      </w:tr>
      <w:tr>
        <w:tblPrEx>
          <w:tblCellMar>
            <w:top w:w="0" w:type="dxa"/>
            <w:left w:w="108" w:type="dxa"/>
            <w:bottom w:w="0" w:type="dxa"/>
            <w:right w:w="108" w:type="dxa"/>
          </w:tblCellMar>
        </w:tblPrEx>
        <w:trPr>
          <w:trHeight w:val="272" w:hRule="atLeast"/>
        </w:trPr>
        <w:tc>
          <w:tcPr>
            <w:tcW w:w="1276"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学期1</w:t>
            </w:r>
          </w:p>
        </w:tc>
        <w:tc>
          <w:tcPr>
            <w:tcW w:w="111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学期2</w:t>
            </w:r>
          </w:p>
        </w:tc>
        <w:tc>
          <w:tcPr>
            <w:tcW w:w="115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学期3</w:t>
            </w:r>
          </w:p>
        </w:tc>
        <w:tc>
          <w:tcPr>
            <w:tcW w:w="113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学期4</w:t>
            </w:r>
          </w:p>
        </w:tc>
        <w:tc>
          <w:tcPr>
            <w:tcW w:w="141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学期5</w:t>
            </w:r>
          </w:p>
        </w:tc>
        <w:tc>
          <w:tcPr>
            <w:tcW w:w="1417"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学期6</w:t>
            </w:r>
          </w:p>
        </w:tc>
        <w:tc>
          <w:tcPr>
            <w:tcW w:w="108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学期7</w:t>
            </w:r>
          </w:p>
        </w:tc>
        <w:tc>
          <w:tcPr>
            <w:tcW w:w="759"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学期8</w:t>
            </w:r>
          </w:p>
        </w:tc>
      </w:tr>
      <w:tr>
        <w:tblPrEx>
          <w:tblCellMar>
            <w:top w:w="0" w:type="dxa"/>
            <w:left w:w="108" w:type="dxa"/>
            <w:bottom w:w="0" w:type="dxa"/>
            <w:right w:w="108" w:type="dxa"/>
          </w:tblCellMar>
        </w:tblPrEx>
        <w:trPr>
          <w:trHeight w:val="567" w:hRule="atLeast"/>
        </w:trPr>
        <w:tc>
          <w:tcPr>
            <w:tcW w:w="1276"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思想道德修养与法律基础</w:t>
            </w:r>
          </w:p>
        </w:tc>
        <w:tc>
          <w:tcPr>
            <w:tcW w:w="1110"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中国近代史纲要</w:t>
            </w:r>
          </w:p>
        </w:tc>
        <w:tc>
          <w:tcPr>
            <w:tcW w:w="1158"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马克思主义原理</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8"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毛泽东思想和中国特色社会主义理论体系概论</w:t>
            </w:r>
          </w:p>
        </w:tc>
        <w:tc>
          <w:tcPr>
            <w:tcW w:w="1417"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毛泽东思想和中国特色社会主义理论体系概论</w:t>
            </w:r>
          </w:p>
        </w:tc>
        <w:tc>
          <w:tcPr>
            <w:tcW w:w="108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毕业实习</w:t>
            </w:r>
          </w:p>
        </w:tc>
        <w:tc>
          <w:tcPr>
            <w:tcW w:w="759"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毕业</w:t>
            </w:r>
          </w:p>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设计</w:t>
            </w:r>
          </w:p>
        </w:tc>
      </w:tr>
      <w:tr>
        <w:tblPrEx>
          <w:tblCellMar>
            <w:top w:w="0" w:type="dxa"/>
            <w:left w:w="108" w:type="dxa"/>
            <w:bottom w:w="0" w:type="dxa"/>
            <w:right w:w="108" w:type="dxa"/>
          </w:tblCellMar>
        </w:tblPrEx>
        <w:trPr>
          <w:trHeight w:val="385" w:hRule="atLeast"/>
        </w:trPr>
        <w:tc>
          <w:tcPr>
            <w:tcW w:w="1276"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高等数学</w:t>
            </w:r>
          </w:p>
        </w:tc>
        <w:tc>
          <w:tcPr>
            <w:tcW w:w="1110"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58"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线性代数</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概率论与</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数理统计</w:t>
            </w:r>
          </w:p>
        </w:tc>
        <w:tc>
          <w:tcPr>
            <w:tcW w:w="1418"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7"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08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759"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385" w:hRule="atLeast"/>
        </w:trPr>
        <w:tc>
          <w:tcPr>
            <w:tcW w:w="1276"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大学计算机</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基础</w:t>
            </w:r>
          </w:p>
        </w:tc>
        <w:tc>
          <w:tcPr>
            <w:tcW w:w="1110"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办公数据</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处理与分析</w:t>
            </w:r>
          </w:p>
        </w:tc>
        <w:tc>
          <w:tcPr>
            <w:tcW w:w="1158"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8"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7"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08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759"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272" w:hRule="atLeast"/>
        </w:trPr>
        <w:tc>
          <w:tcPr>
            <w:tcW w:w="1276"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政治学</w:t>
            </w:r>
          </w:p>
        </w:tc>
        <w:tc>
          <w:tcPr>
            <w:tcW w:w="1110"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58"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8"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7"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08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759"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272" w:hRule="atLeast"/>
        </w:trPr>
        <w:tc>
          <w:tcPr>
            <w:tcW w:w="1276"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形势政治A</w:t>
            </w:r>
          </w:p>
        </w:tc>
        <w:tc>
          <w:tcPr>
            <w:tcW w:w="1110"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58"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形势政治B</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8"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形势政治C</w:t>
            </w:r>
          </w:p>
        </w:tc>
        <w:tc>
          <w:tcPr>
            <w:tcW w:w="1417"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08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形势政治D</w:t>
            </w:r>
          </w:p>
        </w:tc>
        <w:tc>
          <w:tcPr>
            <w:tcW w:w="759"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272" w:hRule="atLeast"/>
        </w:trPr>
        <w:tc>
          <w:tcPr>
            <w:tcW w:w="1276"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大学英语</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基础A</w:t>
            </w:r>
          </w:p>
        </w:tc>
        <w:tc>
          <w:tcPr>
            <w:tcW w:w="1110"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大学英语</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基础B</w:t>
            </w:r>
          </w:p>
        </w:tc>
        <w:tc>
          <w:tcPr>
            <w:tcW w:w="1158"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大学英语</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拓展B</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大学英语</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拓展A</w:t>
            </w:r>
          </w:p>
        </w:tc>
        <w:tc>
          <w:tcPr>
            <w:tcW w:w="1418"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7"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08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759"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272" w:hRule="atLeast"/>
        </w:trPr>
        <w:tc>
          <w:tcPr>
            <w:tcW w:w="1276"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军事理论</w:t>
            </w:r>
          </w:p>
        </w:tc>
        <w:tc>
          <w:tcPr>
            <w:tcW w:w="1110"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军事理论</w:t>
            </w:r>
          </w:p>
        </w:tc>
        <w:tc>
          <w:tcPr>
            <w:tcW w:w="1158"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8"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7"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08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759"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272" w:hRule="atLeast"/>
        </w:trPr>
        <w:tc>
          <w:tcPr>
            <w:tcW w:w="1276"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大学语文A</w:t>
            </w:r>
          </w:p>
        </w:tc>
        <w:tc>
          <w:tcPr>
            <w:tcW w:w="1110"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大学语文B</w:t>
            </w:r>
          </w:p>
        </w:tc>
        <w:tc>
          <w:tcPr>
            <w:tcW w:w="1158"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8"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7"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08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759"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272" w:hRule="atLeast"/>
        </w:trPr>
        <w:tc>
          <w:tcPr>
            <w:tcW w:w="1276"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体育</w:t>
            </w:r>
          </w:p>
        </w:tc>
        <w:tc>
          <w:tcPr>
            <w:tcW w:w="1110"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体育</w:t>
            </w:r>
          </w:p>
        </w:tc>
        <w:tc>
          <w:tcPr>
            <w:tcW w:w="1158"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体育</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体育</w:t>
            </w:r>
          </w:p>
        </w:tc>
        <w:tc>
          <w:tcPr>
            <w:tcW w:w="1418"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7"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08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759"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272" w:hRule="atLeast"/>
        </w:trPr>
        <w:tc>
          <w:tcPr>
            <w:tcW w:w="1276"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10"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社会统计学</w:t>
            </w:r>
          </w:p>
        </w:tc>
        <w:tc>
          <w:tcPr>
            <w:tcW w:w="1158"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社会调查方法</w:t>
            </w:r>
          </w:p>
        </w:tc>
        <w:tc>
          <w:tcPr>
            <w:tcW w:w="113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7"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084"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电子政务</w:t>
            </w:r>
          </w:p>
        </w:tc>
        <w:tc>
          <w:tcPr>
            <w:tcW w:w="759"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272" w:hRule="atLeast"/>
        </w:trPr>
        <w:tc>
          <w:tcPr>
            <w:tcW w:w="1276"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10"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社会学</w:t>
            </w:r>
          </w:p>
        </w:tc>
        <w:tc>
          <w:tcPr>
            <w:tcW w:w="115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7"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社会心理学导论</w:t>
            </w:r>
          </w:p>
        </w:tc>
        <w:tc>
          <w:tcPr>
            <w:tcW w:w="108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759"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272" w:hRule="atLeast"/>
        </w:trPr>
        <w:tc>
          <w:tcPr>
            <w:tcW w:w="1276"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10"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经济学原理</w:t>
            </w:r>
          </w:p>
        </w:tc>
        <w:tc>
          <w:tcPr>
            <w:tcW w:w="115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7"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劳动经济学</w:t>
            </w:r>
          </w:p>
        </w:tc>
        <w:tc>
          <w:tcPr>
            <w:tcW w:w="1084"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发展经济学</w:t>
            </w:r>
          </w:p>
        </w:tc>
        <w:tc>
          <w:tcPr>
            <w:tcW w:w="759"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272" w:hRule="atLeast"/>
        </w:trPr>
        <w:tc>
          <w:tcPr>
            <w:tcW w:w="1276"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1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58"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人力资源</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管理</w:t>
            </w:r>
          </w:p>
        </w:tc>
        <w:tc>
          <w:tcPr>
            <w:tcW w:w="113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8"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绩效管理</w:t>
            </w:r>
          </w:p>
        </w:tc>
        <w:tc>
          <w:tcPr>
            <w:tcW w:w="1417"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公务员制度</w:t>
            </w:r>
          </w:p>
        </w:tc>
        <w:tc>
          <w:tcPr>
            <w:tcW w:w="1084"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薪酬管理</w:t>
            </w:r>
          </w:p>
        </w:tc>
        <w:tc>
          <w:tcPr>
            <w:tcW w:w="759"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385" w:hRule="atLeast"/>
        </w:trPr>
        <w:tc>
          <w:tcPr>
            <w:tcW w:w="1276" w:type="dxa"/>
            <w:tcBorders>
              <w:top w:val="nil"/>
              <w:left w:val="single" w:color="auto" w:sz="4" w:space="0"/>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创业基础</w:t>
            </w:r>
          </w:p>
        </w:tc>
        <w:tc>
          <w:tcPr>
            <w:tcW w:w="1110"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职业发展与就业指导A</w:t>
            </w:r>
          </w:p>
        </w:tc>
        <w:tc>
          <w:tcPr>
            <w:tcW w:w="115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职业发展与就业指导B</w:t>
            </w:r>
          </w:p>
        </w:tc>
        <w:tc>
          <w:tcPr>
            <w:tcW w:w="1418" w:type="dxa"/>
            <w:tcBorders>
              <w:top w:val="nil"/>
              <w:left w:val="nil"/>
              <w:bottom w:val="single" w:color="auto" w:sz="4" w:space="0"/>
              <w:right w:val="single" w:color="auto" w:sz="4" w:space="0"/>
            </w:tcBorders>
            <w:shd w:val="clear" w:color="000000" w:fill="FFFF0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公共项目管理</w:t>
            </w:r>
          </w:p>
        </w:tc>
        <w:tc>
          <w:tcPr>
            <w:tcW w:w="1417" w:type="dxa"/>
            <w:tcBorders>
              <w:top w:val="nil"/>
              <w:left w:val="nil"/>
              <w:bottom w:val="single" w:color="auto" w:sz="4" w:space="0"/>
              <w:right w:val="single" w:color="auto" w:sz="4" w:space="0"/>
            </w:tcBorders>
            <w:shd w:val="clear" w:color="000000" w:fill="FFFF0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公共关系学(学期不同)</w:t>
            </w:r>
          </w:p>
        </w:tc>
        <w:tc>
          <w:tcPr>
            <w:tcW w:w="108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759"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272" w:hRule="atLeast"/>
        </w:trPr>
        <w:tc>
          <w:tcPr>
            <w:tcW w:w="1276" w:type="dxa"/>
            <w:tcBorders>
              <w:top w:val="nil"/>
              <w:left w:val="single" w:color="auto" w:sz="4" w:space="0"/>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管理学</w:t>
            </w:r>
          </w:p>
        </w:tc>
        <w:tc>
          <w:tcPr>
            <w:tcW w:w="111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58"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公共管理学</w:t>
            </w:r>
          </w:p>
        </w:tc>
        <w:tc>
          <w:tcPr>
            <w:tcW w:w="113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7"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公共政策分析</w:t>
            </w:r>
          </w:p>
        </w:tc>
        <w:tc>
          <w:tcPr>
            <w:tcW w:w="108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759"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385" w:hRule="atLeast"/>
        </w:trPr>
        <w:tc>
          <w:tcPr>
            <w:tcW w:w="1276"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10"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创业基础</w:t>
            </w:r>
          </w:p>
        </w:tc>
        <w:tc>
          <w:tcPr>
            <w:tcW w:w="115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8" w:type="dxa"/>
            <w:tcBorders>
              <w:top w:val="nil"/>
              <w:left w:val="nil"/>
              <w:bottom w:val="single" w:color="auto" w:sz="4" w:space="0"/>
              <w:right w:val="single" w:color="auto" w:sz="4" w:space="0"/>
            </w:tcBorders>
            <w:shd w:val="clear" w:color="000000" w:fill="FFFF0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公共组织财务管理学</w:t>
            </w:r>
          </w:p>
        </w:tc>
        <w:tc>
          <w:tcPr>
            <w:tcW w:w="1417"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08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759"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272" w:hRule="atLeast"/>
        </w:trPr>
        <w:tc>
          <w:tcPr>
            <w:tcW w:w="1276"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1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58"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社会保障</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概论</w:t>
            </w:r>
          </w:p>
        </w:tc>
        <w:tc>
          <w:tcPr>
            <w:tcW w:w="1134"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职业生涯</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管理</w:t>
            </w:r>
          </w:p>
        </w:tc>
        <w:tc>
          <w:tcPr>
            <w:tcW w:w="1418"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组织行为学</w:t>
            </w:r>
          </w:p>
        </w:tc>
        <w:tc>
          <w:tcPr>
            <w:tcW w:w="1417"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084"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专业外语</w:t>
            </w:r>
          </w:p>
        </w:tc>
        <w:tc>
          <w:tcPr>
            <w:tcW w:w="759"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385" w:hRule="atLeast"/>
        </w:trPr>
        <w:tc>
          <w:tcPr>
            <w:tcW w:w="1276"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1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5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劳动关系学</w:t>
            </w:r>
          </w:p>
        </w:tc>
        <w:tc>
          <w:tcPr>
            <w:tcW w:w="1418"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行政法与</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行政诉讼</w:t>
            </w:r>
          </w:p>
        </w:tc>
        <w:tc>
          <w:tcPr>
            <w:tcW w:w="1417"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084"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759"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385" w:hRule="atLeast"/>
        </w:trPr>
        <w:tc>
          <w:tcPr>
            <w:tcW w:w="1276"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1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5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会计学</w:t>
            </w:r>
          </w:p>
        </w:tc>
        <w:tc>
          <w:tcPr>
            <w:tcW w:w="1418"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社会保障</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基金管理</w:t>
            </w:r>
          </w:p>
        </w:tc>
        <w:tc>
          <w:tcPr>
            <w:tcW w:w="1417"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审计学</w:t>
            </w:r>
          </w:p>
        </w:tc>
        <w:tc>
          <w:tcPr>
            <w:tcW w:w="108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759"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385" w:hRule="atLeast"/>
        </w:trPr>
        <w:tc>
          <w:tcPr>
            <w:tcW w:w="1276"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1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5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社会福利</w:t>
            </w:r>
          </w:p>
        </w:tc>
        <w:tc>
          <w:tcPr>
            <w:tcW w:w="1418"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社会保障</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政策评估</w:t>
            </w:r>
          </w:p>
        </w:tc>
        <w:tc>
          <w:tcPr>
            <w:tcW w:w="1417"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社会保障</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国际比较</w:t>
            </w:r>
          </w:p>
        </w:tc>
        <w:tc>
          <w:tcPr>
            <w:tcW w:w="108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759"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385" w:hRule="atLeast"/>
        </w:trPr>
        <w:tc>
          <w:tcPr>
            <w:tcW w:w="1276"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1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5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社会政策</w:t>
            </w:r>
          </w:p>
        </w:tc>
        <w:tc>
          <w:tcPr>
            <w:tcW w:w="1418"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保险原理</w:t>
            </w:r>
          </w:p>
        </w:tc>
        <w:tc>
          <w:tcPr>
            <w:tcW w:w="1417"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社会保障</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理论前沿</w:t>
            </w:r>
          </w:p>
        </w:tc>
        <w:tc>
          <w:tcPr>
            <w:tcW w:w="108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759"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272" w:hRule="atLeast"/>
        </w:trPr>
        <w:tc>
          <w:tcPr>
            <w:tcW w:w="1276"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1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5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金融学</w:t>
            </w:r>
          </w:p>
        </w:tc>
        <w:tc>
          <w:tcPr>
            <w:tcW w:w="1418"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老龄政策分析</w:t>
            </w:r>
          </w:p>
        </w:tc>
        <w:tc>
          <w:tcPr>
            <w:tcW w:w="1417"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社会保险</w:t>
            </w:r>
          </w:p>
        </w:tc>
        <w:tc>
          <w:tcPr>
            <w:tcW w:w="108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759"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329" w:hRule="atLeast"/>
        </w:trPr>
        <w:tc>
          <w:tcPr>
            <w:tcW w:w="1276" w:type="dxa"/>
            <w:tcBorders>
              <w:top w:val="nil"/>
              <w:left w:val="single" w:color="auto" w:sz="4" w:space="0"/>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心理健康</w:t>
            </w:r>
          </w:p>
        </w:tc>
        <w:tc>
          <w:tcPr>
            <w:tcW w:w="1110"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心理健康</w:t>
            </w:r>
          </w:p>
        </w:tc>
        <w:tc>
          <w:tcPr>
            <w:tcW w:w="115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418"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政府投资学</w:t>
            </w:r>
          </w:p>
        </w:tc>
        <w:tc>
          <w:tcPr>
            <w:tcW w:w="1417" w:type="dxa"/>
            <w:tcBorders>
              <w:top w:val="nil"/>
              <w:left w:val="nil"/>
              <w:bottom w:val="single" w:color="auto" w:sz="4" w:space="0"/>
              <w:right w:val="single" w:color="auto" w:sz="4" w:space="0"/>
            </w:tcBorders>
            <w:shd w:val="clear" w:color="000000" w:fill="8DB4E2"/>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社会工作概论</w:t>
            </w:r>
          </w:p>
        </w:tc>
        <w:tc>
          <w:tcPr>
            <w:tcW w:w="108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759" w:type="dxa"/>
            <w:tcBorders>
              <w:top w:val="nil"/>
              <w:left w:val="nil"/>
              <w:bottom w:val="single" w:color="auto" w:sz="4" w:space="0"/>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bl>
    <w:p>
      <w:pPr>
        <w:rPr>
          <w:rFonts w:ascii="Times New Roman" w:hAnsi="Times New Roman" w:cs="Times New Roman"/>
          <w:sz w:val="22"/>
          <w:szCs w:val="28"/>
        </w:rPr>
      </w:pPr>
    </w:p>
    <w:p>
      <w:pPr>
        <w:rPr>
          <w:rFonts w:ascii="Times New Roman" w:hAnsi="Times New Roman" w:cs="Times New Roman"/>
          <w:sz w:val="20"/>
          <w:szCs w:val="28"/>
        </w:rPr>
      </w:pPr>
      <w:r>
        <w:rPr>
          <w:rFonts w:ascii="Times New Roman" w:hAnsi="Times New Roman" w:cs="Times New Roman"/>
          <w:sz w:val="20"/>
          <w:szCs w:val="28"/>
        </w:rPr>
        <w:t>注：学期5 选择与公管相同的公共项目管理与公共组织财物管理学。公共关系学在学期6。</w:t>
      </w:r>
    </w:p>
    <w:p>
      <w:pPr>
        <w:rPr>
          <w:rFonts w:ascii="Times New Roman" w:hAnsi="Times New Roman" w:cs="Times New Roman"/>
          <w:sz w:val="28"/>
          <w:szCs w:val="28"/>
        </w:rPr>
      </w:pPr>
      <w:r>
        <w:rPr>
          <w:rFonts w:ascii="Times New Roman" w:hAnsi="Times New Roman" w:cs="Times New Roman"/>
          <w:sz w:val="28"/>
          <w:szCs w:val="28"/>
        </w:rPr>
        <w:t>Modul 3</w:t>
      </w:r>
    </w:p>
    <w:tbl>
      <w:tblPr>
        <w:tblStyle w:val="6"/>
        <w:tblW w:w="9358" w:type="dxa"/>
        <w:tblInd w:w="-5" w:type="dxa"/>
        <w:tblLayout w:type="autofit"/>
        <w:tblCellMar>
          <w:top w:w="0" w:type="dxa"/>
          <w:left w:w="108" w:type="dxa"/>
          <w:bottom w:w="0" w:type="dxa"/>
          <w:right w:w="108" w:type="dxa"/>
        </w:tblCellMar>
      </w:tblPr>
      <w:tblGrid>
        <w:gridCol w:w="1250"/>
        <w:gridCol w:w="1187"/>
        <w:gridCol w:w="1173"/>
        <w:gridCol w:w="1112"/>
        <w:gridCol w:w="1388"/>
        <w:gridCol w:w="1390"/>
        <w:gridCol w:w="1111"/>
        <w:gridCol w:w="747"/>
      </w:tblGrid>
      <w:tr>
        <w:tblPrEx>
          <w:tblCellMar>
            <w:top w:w="0" w:type="dxa"/>
            <w:left w:w="108" w:type="dxa"/>
            <w:bottom w:w="0" w:type="dxa"/>
            <w:right w:w="108" w:type="dxa"/>
          </w:tblCellMar>
        </w:tblPrEx>
        <w:trPr>
          <w:trHeight w:val="293" w:hRule="atLeast"/>
        </w:trPr>
        <w:tc>
          <w:tcPr>
            <w:tcW w:w="2437" w:type="dxa"/>
            <w:gridSpan w:val="2"/>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一年级</w:t>
            </w:r>
          </w:p>
        </w:tc>
        <w:tc>
          <w:tcPr>
            <w:tcW w:w="2285" w:type="dxa"/>
            <w:gridSpan w:val="2"/>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二年级</w:t>
            </w:r>
          </w:p>
        </w:tc>
        <w:tc>
          <w:tcPr>
            <w:tcW w:w="2778" w:type="dxa"/>
            <w:gridSpan w:val="2"/>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三年级</w:t>
            </w:r>
          </w:p>
        </w:tc>
        <w:tc>
          <w:tcPr>
            <w:tcW w:w="1858" w:type="dxa"/>
            <w:gridSpan w:val="2"/>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四年级</w:t>
            </w:r>
          </w:p>
        </w:tc>
      </w:tr>
      <w:tr>
        <w:tblPrEx>
          <w:tblCellMar>
            <w:top w:w="0" w:type="dxa"/>
            <w:left w:w="108" w:type="dxa"/>
            <w:bottom w:w="0" w:type="dxa"/>
            <w:right w:w="108" w:type="dxa"/>
          </w:tblCellMar>
        </w:tblPrEx>
        <w:trPr>
          <w:trHeight w:val="293" w:hRule="atLeast"/>
        </w:trPr>
        <w:tc>
          <w:tcPr>
            <w:tcW w:w="125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学期1</w:t>
            </w:r>
          </w:p>
        </w:tc>
        <w:tc>
          <w:tcPr>
            <w:tcW w:w="1187"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学期2</w:t>
            </w:r>
          </w:p>
        </w:tc>
        <w:tc>
          <w:tcPr>
            <w:tcW w:w="1173"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学期3</w:t>
            </w:r>
          </w:p>
        </w:tc>
        <w:tc>
          <w:tcPr>
            <w:tcW w:w="1111"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学期4</w:t>
            </w:r>
          </w:p>
        </w:tc>
        <w:tc>
          <w:tcPr>
            <w:tcW w:w="138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学期5</w:t>
            </w:r>
          </w:p>
        </w:tc>
        <w:tc>
          <w:tcPr>
            <w:tcW w:w="1389"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学期6</w:t>
            </w:r>
          </w:p>
        </w:tc>
        <w:tc>
          <w:tcPr>
            <w:tcW w:w="1111"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学期7</w:t>
            </w:r>
          </w:p>
        </w:tc>
        <w:tc>
          <w:tcPr>
            <w:tcW w:w="747"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学期8</w:t>
            </w:r>
          </w:p>
        </w:tc>
      </w:tr>
      <w:tr>
        <w:tblPrEx>
          <w:tblCellMar>
            <w:top w:w="0" w:type="dxa"/>
            <w:left w:w="108" w:type="dxa"/>
            <w:bottom w:w="0" w:type="dxa"/>
            <w:right w:w="108" w:type="dxa"/>
          </w:tblCellMar>
        </w:tblPrEx>
        <w:trPr>
          <w:trHeight w:val="903" w:hRule="atLeast"/>
        </w:trPr>
        <w:tc>
          <w:tcPr>
            <w:tcW w:w="1250"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思想道德修养与法律基础</w:t>
            </w:r>
          </w:p>
        </w:tc>
        <w:tc>
          <w:tcPr>
            <w:tcW w:w="1187"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中国近代史</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纲要</w:t>
            </w:r>
          </w:p>
        </w:tc>
        <w:tc>
          <w:tcPr>
            <w:tcW w:w="1173"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马克思主义</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原理</w:t>
            </w:r>
          </w:p>
        </w:tc>
        <w:tc>
          <w:tcPr>
            <w:tcW w:w="1111"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388"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毛泽东思想和中国特色社会主义理论体系概论</w:t>
            </w:r>
          </w:p>
        </w:tc>
        <w:tc>
          <w:tcPr>
            <w:tcW w:w="1389"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毛泽东思想和中国特色社会主义理论体系概论</w:t>
            </w:r>
          </w:p>
        </w:tc>
        <w:tc>
          <w:tcPr>
            <w:tcW w:w="1111"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毕业实习</w:t>
            </w:r>
          </w:p>
        </w:tc>
        <w:tc>
          <w:tcPr>
            <w:tcW w:w="747"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毕业</w:t>
            </w:r>
          </w:p>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设计</w:t>
            </w:r>
          </w:p>
        </w:tc>
      </w:tr>
      <w:tr>
        <w:tblPrEx>
          <w:tblCellMar>
            <w:top w:w="0" w:type="dxa"/>
            <w:left w:w="108" w:type="dxa"/>
            <w:bottom w:w="0" w:type="dxa"/>
            <w:right w:w="108" w:type="dxa"/>
          </w:tblCellMar>
        </w:tblPrEx>
        <w:trPr>
          <w:trHeight w:val="463" w:hRule="atLeast"/>
        </w:trPr>
        <w:tc>
          <w:tcPr>
            <w:tcW w:w="1250"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高等数学</w:t>
            </w:r>
          </w:p>
        </w:tc>
        <w:tc>
          <w:tcPr>
            <w:tcW w:w="1187"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73"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线性代数</w:t>
            </w:r>
          </w:p>
        </w:tc>
        <w:tc>
          <w:tcPr>
            <w:tcW w:w="1111"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概率论与</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数理统计</w:t>
            </w:r>
          </w:p>
        </w:tc>
        <w:tc>
          <w:tcPr>
            <w:tcW w:w="1388"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389"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11"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747"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463" w:hRule="atLeast"/>
        </w:trPr>
        <w:tc>
          <w:tcPr>
            <w:tcW w:w="1250"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大学计算机</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基础</w:t>
            </w:r>
          </w:p>
        </w:tc>
        <w:tc>
          <w:tcPr>
            <w:tcW w:w="1187"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办公数据</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处理与分析</w:t>
            </w:r>
          </w:p>
        </w:tc>
        <w:tc>
          <w:tcPr>
            <w:tcW w:w="1173"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11"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388"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389"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11"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747"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293" w:hRule="atLeast"/>
        </w:trPr>
        <w:tc>
          <w:tcPr>
            <w:tcW w:w="1250"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政治学</w:t>
            </w:r>
          </w:p>
        </w:tc>
        <w:tc>
          <w:tcPr>
            <w:tcW w:w="1187"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73"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11"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388"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389"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11"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747"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293" w:hRule="atLeast"/>
        </w:trPr>
        <w:tc>
          <w:tcPr>
            <w:tcW w:w="1250"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形势政治A</w:t>
            </w:r>
          </w:p>
        </w:tc>
        <w:tc>
          <w:tcPr>
            <w:tcW w:w="1187"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73"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形势政治B</w:t>
            </w:r>
          </w:p>
        </w:tc>
        <w:tc>
          <w:tcPr>
            <w:tcW w:w="1111"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388"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形势政治C</w:t>
            </w:r>
          </w:p>
        </w:tc>
        <w:tc>
          <w:tcPr>
            <w:tcW w:w="1389"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11"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形势政治D</w:t>
            </w:r>
          </w:p>
        </w:tc>
        <w:tc>
          <w:tcPr>
            <w:tcW w:w="747"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463" w:hRule="atLeast"/>
        </w:trPr>
        <w:tc>
          <w:tcPr>
            <w:tcW w:w="1250"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大学英语</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基础A</w:t>
            </w:r>
          </w:p>
        </w:tc>
        <w:tc>
          <w:tcPr>
            <w:tcW w:w="1187"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大学英语</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基础B</w:t>
            </w:r>
          </w:p>
        </w:tc>
        <w:tc>
          <w:tcPr>
            <w:tcW w:w="1173"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大学英语</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拓展B</w:t>
            </w:r>
          </w:p>
        </w:tc>
        <w:tc>
          <w:tcPr>
            <w:tcW w:w="1111"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大学英语</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拓展A</w:t>
            </w:r>
          </w:p>
        </w:tc>
        <w:tc>
          <w:tcPr>
            <w:tcW w:w="1388"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389"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11"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747"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293" w:hRule="atLeast"/>
        </w:trPr>
        <w:tc>
          <w:tcPr>
            <w:tcW w:w="1250"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军事理论</w:t>
            </w:r>
          </w:p>
        </w:tc>
        <w:tc>
          <w:tcPr>
            <w:tcW w:w="1187"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军事理论</w:t>
            </w:r>
          </w:p>
        </w:tc>
        <w:tc>
          <w:tcPr>
            <w:tcW w:w="1173"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11"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388"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389"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11"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747"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293" w:hRule="atLeast"/>
        </w:trPr>
        <w:tc>
          <w:tcPr>
            <w:tcW w:w="1250"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大学语文A</w:t>
            </w:r>
          </w:p>
        </w:tc>
        <w:tc>
          <w:tcPr>
            <w:tcW w:w="1187"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大学语文B</w:t>
            </w:r>
          </w:p>
        </w:tc>
        <w:tc>
          <w:tcPr>
            <w:tcW w:w="1173"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11"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388"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389"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11"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747"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293" w:hRule="atLeast"/>
        </w:trPr>
        <w:tc>
          <w:tcPr>
            <w:tcW w:w="1250"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体育</w:t>
            </w:r>
          </w:p>
        </w:tc>
        <w:tc>
          <w:tcPr>
            <w:tcW w:w="1187"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体育</w:t>
            </w:r>
          </w:p>
        </w:tc>
        <w:tc>
          <w:tcPr>
            <w:tcW w:w="1173"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体育</w:t>
            </w:r>
          </w:p>
        </w:tc>
        <w:tc>
          <w:tcPr>
            <w:tcW w:w="1111"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体育</w:t>
            </w:r>
          </w:p>
        </w:tc>
        <w:tc>
          <w:tcPr>
            <w:tcW w:w="1388"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389"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11"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747"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293" w:hRule="atLeast"/>
        </w:trPr>
        <w:tc>
          <w:tcPr>
            <w:tcW w:w="125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87"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社会统计学</w:t>
            </w:r>
          </w:p>
        </w:tc>
        <w:tc>
          <w:tcPr>
            <w:tcW w:w="1173"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社会调查</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方法</w:t>
            </w:r>
          </w:p>
        </w:tc>
        <w:tc>
          <w:tcPr>
            <w:tcW w:w="1111"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38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389"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11"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电子政务</w:t>
            </w:r>
          </w:p>
        </w:tc>
        <w:tc>
          <w:tcPr>
            <w:tcW w:w="747"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463" w:hRule="atLeast"/>
        </w:trPr>
        <w:tc>
          <w:tcPr>
            <w:tcW w:w="125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87"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社会学</w:t>
            </w:r>
          </w:p>
        </w:tc>
        <w:tc>
          <w:tcPr>
            <w:tcW w:w="1173"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11"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38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389"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社会心理学导论</w:t>
            </w:r>
          </w:p>
        </w:tc>
        <w:tc>
          <w:tcPr>
            <w:tcW w:w="1111"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747"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293" w:hRule="atLeast"/>
        </w:trPr>
        <w:tc>
          <w:tcPr>
            <w:tcW w:w="125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87"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经济学原理</w:t>
            </w:r>
          </w:p>
        </w:tc>
        <w:tc>
          <w:tcPr>
            <w:tcW w:w="1173"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11"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38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389"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11"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发展经济学</w:t>
            </w:r>
          </w:p>
        </w:tc>
        <w:tc>
          <w:tcPr>
            <w:tcW w:w="747"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293" w:hRule="atLeast"/>
        </w:trPr>
        <w:tc>
          <w:tcPr>
            <w:tcW w:w="125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87"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73"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人力资源</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管理</w:t>
            </w:r>
          </w:p>
        </w:tc>
        <w:tc>
          <w:tcPr>
            <w:tcW w:w="1111"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388" w:type="dxa"/>
            <w:tcBorders>
              <w:top w:val="nil"/>
              <w:left w:val="nil"/>
              <w:bottom w:val="single" w:color="auto" w:sz="4" w:space="0"/>
              <w:right w:val="single" w:color="auto" w:sz="4" w:space="0"/>
            </w:tcBorders>
            <w:shd w:val="clear" w:color="000000" w:fill="FFFF0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绩效管理</w:t>
            </w:r>
          </w:p>
        </w:tc>
        <w:tc>
          <w:tcPr>
            <w:tcW w:w="1389"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公务员制度</w:t>
            </w:r>
          </w:p>
        </w:tc>
        <w:tc>
          <w:tcPr>
            <w:tcW w:w="1111"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747"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463" w:hRule="atLeast"/>
        </w:trPr>
        <w:tc>
          <w:tcPr>
            <w:tcW w:w="125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87"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73" w:type="dxa"/>
            <w:tcBorders>
              <w:top w:val="nil"/>
              <w:left w:val="nil"/>
              <w:bottom w:val="single" w:color="auto" w:sz="4" w:space="0"/>
              <w:right w:val="single" w:color="auto" w:sz="4" w:space="0"/>
            </w:tcBorders>
            <w:shd w:val="clear" w:color="000000" w:fill="92D05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公共部门</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人力资源</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管理</w:t>
            </w:r>
          </w:p>
        </w:tc>
        <w:tc>
          <w:tcPr>
            <w:tcW w:w="1111" w:type="dxa"/>
            <w:tcBorders>
              <w:top w:val="nil"/>
              <w:left w:val="nil"/>
              <w:bottom w:val="single" w:color="auto" w:sz="4" w:space="0"/>
              <w:right w:val="single" w:color="auto" w:sz="4" w:space="0"/>
            </w:tcBorders>
            <w:shd w:val="clear" w:color="000000" w:fill="FFFF0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公共关系学(学期不同)</w:t>
            </w:r>
          </w:p>
        </w:tc>
        <w:tc>
          <w:tcPr>
            <w:tcW w:w="1388" w:type="dxa"/>
            <w:tcBorders>
              <w:top w:val="nil"/>
              <w:left w:val="nil"/>
              <w:bottom w:val="single" w:color="auto" w:sz="4" w:space="0"/>
              <w:right w:val="single" w:color="auto" w:sz="4" w:space="0"/>
            </w:tcBorders>
            <w:shd w:val="clear" w:color="000000" w:fill="FFFF0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项目管理</w:t>
            </w:r>
          </w:p>
        </w:tc>
        <w:tc>
          <w:tcPr>
            <w:tcW w:w="1389"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11" w:type="dxa"/>
            <w:tcBorders>
              <w:top w:val="nil"/>
              <w:left w:val="nil"/>
              <w:bottom w:val="single" w:color="auto" w:sz="4" w:space="0"/>
              <w:right w:val="single" w:color="auto" w:sz="4" w:space="0"/>
            </w:tcBorders>
            <w:shd w:val="clear" w:color="000000" w:fill="92D05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市政管理学</w:t>
            </w:r>
          </w:p>
        </w:tc>
        <w:tc>
          <w:tcPr>
            <w:tcW w:w="747"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463" w:hRule="atLeast"/>
        </w:trPr>
        <w:tc>
          <w:tcPr>
            <w:tcW w:w="1250" w:type="dxa"/>
            <w:tcBorders>
              <w:top w:val="nil"/>
              <w:left w:val="single" w:color="auto" w:sz="4" w:space="0"/>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管理学</w:t>
            </w:r>
          </w:p>
        </w:tc>
        <w:tc>
          <w:tcPr>
            <w:tcW w:w="1187"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73"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公共管理学</w:t>
            </w:r>
          </w:p>
        </w:tc>
        <w:tc>
          <w:tcPr>
            <w:tcW w:w="1111" w:type="dxa"/>
            <w:tcBorders>
              <w:top w:val="nil"/>
              <w:left w:val="nil"/>
              <w:bottom w:val="single" w:color="auto" w:sz="4" w:space="0"/>
              <w:right w:val="single" w:color="auto" w:sz="4" w:space="0"/>
            </w:tcBorders>
            <w:shd w:val="clear" w:color="000000" w:fill="92D05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行政管理学</w:t>
            </w:r>
          </w:p>
        </w:tc>
        <w:tc>
          <w:tcPr>
            <w:tcW w:w="1388" w:type="dxa"/>
            <w:tcBorders>
              <w:top w:val="nil"/>
              <w:left w:val="nil"/>
              <w:bottom w:val="single" w:color="auto" w:sz="4" w:space="0"/>
              <w:right w:val="single" w:color="auto" w:sz="4" w:space="0"/>
            </w:tcBorders>
            <w:shd w:val="clear" w:color="000000" w:fill="92D05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公共管理外语</w:t>
            </w:r>
          </w:p>
        </w:tc>
        <w:tc>
          <w:tcPr>
            <w:tcW w:w="1389"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公共政策分析</w:t>
            </w:r>
          </w:p>
        </w:tc>
        <w:tc>
          <w:tcPr>
            <w:tcW w:w="1111" w:type="dxa"/>
            <w:tcBorders>
              <w:top w:val="nil"/>
              <w:left w:val="nil"/>
              <w:bottom w:val="single" w:color="auto" w:sz="4" w:space="0"/>
              <w:right w:val="single" w:color="auto" w:sz="4" w:space="0"/>
            </w:tcBorders>
            <w:shd w:val="clear" w:color="000000" w:fill="92D05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公共管理</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学术前沿</w:t>
            </w:r>
          </w:p>
        </w:tc>
        <w:tc>
          <w:tcPr>
            <w:tcW w:w="747"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463" w:hRule="atLeast"/>
        </w:trPr>
        <w:tc>
          <w:tcPr>
            <w:tcW w:w="125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87"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73" w:type="dxa"/>
            <w:tcBorders>
              <w:top w:val="nil"/>
              <w:left w:val="nil"/>
              <w:bottom w:val="single" w:color="auto" w:sz="4" w:space="0"/>
              <w:right w:val="single" w:color="auto" w:sz="4" w:space="0"/>
            </w:tcBorders>
            <w:shd w:val="clear" w:color="000000" w:fill="92D05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非营利组织</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管理</w:t>
            </w:r>
          </w:p>
        </w:tc>
        <w:tc>
          <w:tcPr>
            <w:tcW w:w="1111" w:type="dxa"/>
            <w:tcBorders>
              <w:top w:val="nil"/>
              <w:left w:val="nil"/>
              <w:bottom w:val="single" w:color="auto" w:sz="4" w:space="0"/>
              <w:right w:val="single" w:color="auto" w:sz="4" w:space="0"/>
            </w:tcBorders>
            <w:shd w:val="clear" w:color="000000" w:fill="92D05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社会组织运营与管理</w:t>
            </w:r>
          </w:p>
        </w:tc>
        <w:tc>
          <w:tcPr>
            <w:tcW w:w="1388" w:type="dxa"/>
            <w:tcBorders>
              <w:top w:val="nil"/>
              <w:left w:val="nil"/>
              <w:bottom w:val="single" w:color="auto" w:sz="4" w:space="0"/>
              <w:right w:val="single" w:color="auto" w:sz="4" w:space="0"/>
            </w:tcBorders>
            <w:shd w:val="clear" w:color="000000" w:fill="92D05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公共经济学</w:t>
            </w:r>
          </w:p>
        </w:tc>
        <w:tc>
          <w:tcPr>
            <w:tcW w:w="1389" w:type="dxa"/>
            <w:tcBorders>
              <w:top w:val="nil"/>
              <w:left w:val="nil"/>
              <w:bottom w:val="single" w:color="auto" w:sz="4" w:space="0"/>
              <w:right w:val="single" w:color="auto" w:sz="4" w:space="0"/>
            </w:tcBorders>
            <w:shd w:val="clear" w:color="000000" w:fill="92D05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公共组织学</w:t>
            </w:r>
          </w:p>
        </w:tc>
        <w:tc>
          <w:tcPr>
            <w:tcW w:w="1111" w:type="dxa"/>
            <w:tcBorders>
              <w:top w:val="nil"/>
              <w:left w:val="nil"/>
              <w:bottom w:val="single" w:color="auto" w:sz="4" w:space="0"/>
              <w:right w:val="single" w:color="auto" w:sz="4" w:space="0"/>
            </w:tcBorders>
            <w:shd w:val="clear" w:color="000000" w:fill="92D05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社区管理</w:t>
            </w:r>
          </w:p>
        </w:tc>
        <w:tc>
          <w:tcPr>
            <w:tcW w:w="747"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463" w:hRule="atLeast"/>
        </w:trPr>
        <w:tc>
          <w:tcPr>
            <w:tcW w:w="1250" w:type="dxa"/>
            <w:tcBorders>
              <w:top w:val="nil"/>
              <w:left w:val="single" w:color="auto" w:sz="4" w:space="0"/>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心理健康</w:t>
            </w:r>
          </w:p>
        </w:tc>
        <w:tc>
          <w:tcPr>
            <w:tcW w:w="1187"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心理健康</w:t>
            </w:r>
          </w:p>
        </w:tc>
        <w:tc>
          <w:tcPr>
            <w:tcW w:w="1173" w:type="dxa"/>
            <w:tcBorders>
              <w:top w:val="nil"/>
              <w:left w:val="nil"/>
              <w:bottom w:val="single" w:color="auto" w:sz="4" w:space="0"/>
              <w:right w:val="single" w:color="auto" w:sz="4" w:space="0"/>
            </w:tcBorders>
            <w:shd w:val="clear" w:color="000000" w:fill="92D05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公共管理</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法律基础</w:t>
            </w:r>
          </w:p>
        </w:tc>
        <w:tc>
          <w:tcPr>
            <w:tcW w:w="1111" w:type="dxa"/>
            <w:tcBorders>
              <w:top w:val="nil"/>
              <w:left w:val="nil"/>
              <w:bottom w:val="single" w:color="auto" w:sz="4" w:space="0"/>
              <w:right w:val="single" w:color="auto" w:sz="4" w:space="0"/>
            </w:tcBorders>
            <w:shd w:val="clear" w:color="000000" w:fill="92D05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公共事业</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管理学</w:t>
            </w:r>
          </w:p>
        </w:tc>
        <w:tc>
          <w:tcPr>
            <w:tcW w:w="1388" w:type="dxa"/>
            <w:tcBorders>
              <w:top w:val="nil"/>
              <w:left w:val="nil"/>
              <w:bottom w:val="single" w:color="auto" w:sz="4" w:space="0"/>
              <w:right w:val="single" w:color="auto" w:sz="4" w:space="0"/>
            </w:tcBorders>
            <w:shd w:val="clear" w:color="000000" w:fill="FFFF0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财务管理学</w:t>
            </w:r>
          </w:p>
        </w:tc>
        <w:tc>
          <w:tcPr>
            <w:tcW w:w="1389"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11" w:type="dxa"/>
            <w:tcBorders>
              <w:top w:val="nil"/>
              <w:left w:val="nil"/>
              <w:bottom w:val="single" w:color="auto" w:sz="4" w:space="0"/>
              <w:right w:val="single" w:color="auto" w:sz="4" w:space="0"/>
            </w:tcBorders>
            <w:shd w:val="clear" w:color="000000" w:fill="92D05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747"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463" w:hRule="atLeast"/>
        </w:trPr>
        <w:tc>
          <w:tcPr>
            <w:tcW w:w="1250" w:type="dxa"/>
            <w:tcBorders>
              <w:top w:val="nil"/>
              <w:left w:val="single" w:color="auto" w:sz="4" w:space="0"/>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创业基础</w:t>
            </w:r>
          </w:p>
        </w:tc>
        <w:tc>
          <w:tcPr>
            <w:tcW w:w="1187"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职业发展与</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就业指导A</w:t>
            </w:r>
          </w:p>
        </w:tc>
        <w:tc>
          <w:tcPr>
            <w:tcW w:w="1173"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11"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职业发展与就业指导B</w:t>
            </w:r>
          </w:p>
        </w:tc>
        <w:tc>
          <w:tcPr>
            <w:tcW w:w="1388" w:type="dxa"/>
            <w:tcBorders>
              <w:top w:val="nil"/>
              <w:left w:val="nil"/>
              <w:bottom w:val="single" w:color="auto" w:sz="4" w:space="0"/>
              <w:right w:val="single" w:color="auto" w:sz="4" w:space="0"/>
            </w:tcBorders>
            <w:shd w:val="clear" w:color="000000" w:fill="92D05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社会组织</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创新与发展</w:t>
            </w:r>
          </w:p>
        </w:tc>
        <w:tc>
          <w:tcPr>
            <w:tcW w:w="1389"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11" w:type="dxa"/>
            <w:tcBorders>
              <w:top w:val="nil"/>
              <w:left w:val="nil"/>
              <w:bottom w:val="single" w:color="auto" w:sz="4" w:space="0"/>
              <w:right w:val="single" w:color="auto" w:sz="4" w:space="0"/>
            </w:tcBorders>
            <w:shd w:val="clear" w:color="000000" w:fill="92D05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志愿服务</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概论</w:t>
            </w:r>
          </w:p>
        </w:tc>
        <w:tc>
          <w:tcPr>
            <w:tcW w:w="747" w:type="dxa"/>
            <w:tcBorders>
              <w:top w:val="nil"/>
              <w:left w:val="nil"/>
              <w:bottom w:val="single" w:color="auto" w:sz="4" w:space="0"/>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bl>
    <w:p>
      <w:pPr>
        <w:rPr>
          <w:rFonts w:ascii="Times New Roman" w:hAnsi="Times New Roman" w:cs="Times New Roman"/>
          <w:sz w:val="28"/>
          <w:szCs w:val="28"/>
        </w:rPr>
      </w:pPr>
    </w:p>
    <w:p>
      <w:pPr>
        <w:rPr>
          <w:rFonts w:ascii="Times New Roman" w:hAnsi="Times New Roman" w:cs="Times New Roman"/>
          <w:sz w:val="22"/>
          <w:szCs w:val="28"/>
        </w:rPr>
      </w:pPr>
      <w:r>
        <w:rPr>
          <w:rFonts w:ascii="Times New Roman" w:hAnsi="Times New Roman" w:cs="Times New Roman"/>
          <w:sz w:val="22"/>
          <w:szCs w:val="28"/>
        </w:rPr>
        <w:t>注：学期5新增绩效管理。学期5选择与社保相同的项目管理与财务管理。</w:t>
      </w:r>
    </w:p>
    <w:p>
      <w:pPr>
        <w:rPr>
          <w:rFonts w:ascii="Times New Roman" w:hAnsi="Times New Roman" w:cs="Times New Roman"/>
          <w:sz w:val="22"/>
          <w:szCs w:val="28"/>
        </w:rPr>
      </w:pPr>
      <w:r>
        <w:rPr>
          <w:rFonts w:ascii="Times New Roman" w:hAnsi="Times New Roman" w:cs="Times New Roman"/>
          <w:sz w:val="22"/>
          <w:szCs w:val="28"/>
        </w:rPr>
        <w:t xml:space="preserve">    公共关系学在学期4。</w:t>
      </w: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r>
        <w:rPr>
          <w:rFonts w:ascii="Times New Roman" w:hAnsi="Times New Roman" w:cs="Times New Roman"/>
          <w:sz w:val="28"/>
          <w:szCs w:val="28"/>
        </w:rPr>
        <w:t>Modul 4</w:t>
      </w:r>
    </w:p>
    <w:tbl>
      <w:tblPr>
        <w:tblStyle w:val="6"/>
        <w:tblW w:w="9175" w:type="dxa"/>
        <w:tblInd w:w="-5" w:type="dxa"/>
        <w:tblLayout w:type="autofit"/>
        <w:tblCellMar>
          <w:top w:w="0" w:type="dxa"/>
          <w:left w:w="108" w:type="dxa"/>
          <w:bottom w:w="0" w:type="dxa"/>
          <w:right w:w="108" w:type="dxa"/>
        </w:tblCellMar>
      </w:tblPr>
      <w:tblGrid>
        <w:gridCol w:w="1134"/>
        <w:gridCol w:w="1244"/>
        <w:gridCol w:w="1166"/>
        <w:gridCol w:w="1154"/>
        <w:gridCol w:w="1256"/>
        <w:gridCol w:w="1276"/>
        <w:gridCol w:w="1134"/>
        <w:gridCol w:w="811"/>
      </w:tblGrid>
      <w:tr>
        <w:trPr>
          <w:trHeight w:val="277" w:hRule="atLeast"/>
        </w:trPr>
        <w:tc>
          <w:tcPr>
            <w:tcW w:w="2378" w:type="dxa"/>
            <w:gridSpan w:val="2"/>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一年级</w:t>
            </w:r>
          </w:p>
        </w:tc>
        <w:tc>
          <w:tcPr>
            <w:tcW w:w="2320" w:type="dxa"/>
            <w:gridSpan w:val="2"/>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二年级</w:t>
            </w:r>
          </w:p>
        </w:tc>
        <w:tc>
          <w:tcPr>
            <w:tcW w:w="2532" w:type="dxa"/>
            <w:gridSpan w:val="2"/>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三年级</w:t>
            </w:r>
          </w:p>
        </w:tc>
        <w:tc>
          <w:tcPr>
            <w:tcW w:w="1945" w:type="dxa"/>
            <w:gridSpan w:val="2"/>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四年级</w:t>
            </w:r>
          </w:p>
        </w:tc>
      </w:tr>
      <w:tr>
        <w:tblPrEx>
          <w:tblCellMar>
            <w:top w:w="0" w:type="dxa"/>
            <w:left w:w="108" w:type="dxa"/>
            <w:bottom w:w="0" w:type="dxa"/>
            <w:right w:w="108" w:type="dxa"/>
          </w:tblCellMar>
        </w:tblPrEx>
        <w:trPr>
          <w:trHeight w:val="277" w:hRule="atLeast"/>
        </w:trPr>
        <w:tc>
          <w:tcPr>
            <w:tcW w:w="1134"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学期1</w:t>
            </w:r>
          </w:p>
        </w:tc>
        <w:tc>
          <w:tcPr>
            <w:tcW w:w="124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学期2</w:t>
            </w:r>
          </w:p>
        </w:tc>
        <w:tc>
          <w:tcPr>
            <w:tcW w:w="1166"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学期3</w:t>
            </w:r>
          </w:p>
        </w:tc>
        <w:tc>
          <w:tcPr>
            <w:tcW w:w="115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学期4</w:t>
            </w:r>
          </w:p>
        </w:tc>
        <w:tc>
          <w:tcPr>
            <w:tcW w:w="1256"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学期5</w:t>
            </w:r>
          </w:p>
        </w:tc>
        <w:tc>
          <w:tcPr>
            <w:tcW w:w="1276"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学期6</w:t>
            </w:r>
          </w:p>
        </w:tc>
        <w:tc>
          <w:tcPr>
            <w:tcW w:w="113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学期7</w:t>
            </w:r>
          </w:p>
        </w:tc>
        <w:tc>
          <w:tcPr>
            <w:tcW w:w="811"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学期8</w:t>
            </w:r>
          </w:p>
        </w:tc>
      </w:tr>
      <w:tr>
        <w:tblPrEx>
          <w:tblCellMar>
            <w:top w:w="0" w:type="dxa"/>
            <w:left w:w="108" w:type="dxa"/>
            <w:bottom w:w="0" w:type="dxa"/>
            <w:right w:w="108" w:type="dxa"/>
          </w:tblCellMar>
        </w:tblPrEx>
        <w:trPr>
          <w:trHeight w:val="727" w:hRule="atLeast"/>
        </w:trPr>
        <w:tc>
          <w:tcPr>
            <w:tcW w:w="1134"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思想道德</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修养与法律基础</w:t>
            </w:r>
          </w:p>
        </w:tc>
        <w:tc>
          <w:tcPr>
            <w:tcW w:w="124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中国近代史</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纲要</w:t>
            </w:r>
          </w:p>
        </w:tc>
        <w:tc>
          <w:tcPr>
            <w:tcW w:w="116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马克思主义原理</w:t>
            </w:r>
          </w:p>
        </w:tc>
        <w:tc>
          <w:tcPr>
            <w:tcW w:w="115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5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毛泽东思想和中国特色社会主义理论体系概论</w:t>
            </w:r>
          </w:p>
        </w:tc>
        <w:tc>
          <w:tcPr>
            <w:tcW w:w="127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毛泽东思想和中国特色社会主义理论体系概论</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毕业实习</w:t>
            </w:r>
          </w:p>
        </w:tc>
        <w:tc>
          <w:tcPr>
            <w:tcW w:w="811"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毕业</w:t>
            </w:r>
          </w:p>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设计</w:t>
            </w:r>
          </w:p>
        </w:tc>
      </w:tr>
      <w:tr>
        <w:tblPrEx>
          <w:tblCellMar>
            <w:top w:w="0" w:type="dxa"/>
            <w:left w:w="108" w:type="dxa"/>
            <w:bottom w:w="0" w:type="dxa"/>
            <w:right w:w="108" w:type="dxa"/>
          </w:tblCellMar>
        </w:tblPrEx>
        <w:trPr>
          <w:trHeight w:val="392" w:hRule="atLeast"/>
        </w:trPr>
        <w:tc>
          <w:tcPr>
            <w:tcW w:w="1134"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高等数学</w:t>
            </w:r>
          </w:p>
        </w:tc>
        <w:tc>
          <w:tcPr>
            <w:tcW w:w="124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6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线性代数</w:t>
            </w:r>
          </w:p>
        </w:tc>
        <w:tc>
          <w:tcPr>
            <w:tcW w:w="115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概率论与</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数理统计</w:t>
            </w:r>
          </w:p>
        </w:tc>
        <w:tc>
          <w:tcPr>
            <w:tcW w:w="125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7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811"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392" w:hRule="atLeast"/>
        </w:trPr>
        <w:tc>
          <w:tcPr>
            <w:tcW w:w="1134"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大学计算机基础</w:t>
            </w:r>
          </w:p>
        </w:tc>
        <w:tc>
          <w:tcPr>
            <w:tcW w:w="124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办公数据</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处理与分析</w:t>
            </w:r>
          </w:p>
        </w:tc>
        <w:tc>
          <w:tcPr>
            <w:tcW w:w="116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5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5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7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811"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277" w:hRule="atLeast"/>
        </w:trPr>
        <w:tc>
          <w:tcPr>
            <w:tcW w:w="1134"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政治学</w:t>
            </w:r>
          </w:p>
        </w:tc>
        <w:tc>
          <w:tcPr>
            <w:tcW w:w="124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6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5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5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7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811"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311" w:hRule="atLeast"/>
        </w:trPr>
        <w:tc>
          <w:tcPr>
            <w:tcW w:w="1134"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形势政治A</w:t>
            </w:r>
          </w:p>
        </w:tc>
        <w:tc>
          <w:tcPr>
            <w:tcW w:w="124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6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形势政治B</w:t>
            </w:r>
          </w:p>
        </w:tc>
        <w:tc>
          <w:tcPr>
            <w:tcW w:w="115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5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形势政治C</w:t>
            </w:r>
          </w:p>
        </w:tc>
        <w:tc>
          <w:tcPr>
            <w:tcW w:w="127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形势政治D</w:t>
            </w:r>
          </w:p>
        </w:tc>
        <w:tc>
          <w:tcPr>
            <w:tcW w:w="811"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392" w:hRule="atLeast"/>
        </w:trPr>
        <w:tc>
          <w:tcPr>
            <w:tcW w:w="1134"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大学英语</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基础A</w:t>
            </w:r>
          </w:p>
        </w:tc>
        <w:tc>
          <w:tcPr>
            <w:tcW w:w="124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大学英语</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基础B</w:t>
            </w:r>
          </w:p>
        </w:tc>
        <w:tc>
          <w:tcPr>
            <w:tcW w:w="116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大学英语</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拓展B</w:t>
            </w:r>
          </w:p>
        </w:tc>
        <w:tc>
          <w:tcPr>
            <w:tcW w:w="115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大学英语</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拓展A</w:t>
            </w:r>
          </w:p>
        </w:tc>
        <w:tc>
          <w:tcPr>
            <w:tcW w:w="125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7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811"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277" w:hRule="atLeast"/>
        </w:trPr>
        <w:tc>
          <w:tcPr>
            <w:tcW w:w="1134"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军事理论</w:t>
            </w:r>
          </w:p>
        </w:tc>
        <w:tc>
          <w:tcPr>
            <w:tcW w:w="124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军事理论</w:t>
            </w:r>
          </w:p>
        </w:tc>
        <w:tc>
          <w:tcPr>
            <w:tcW w:w="116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5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5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7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811"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277" w:hRule="atLeast"/>
        </w:trPr>
        <w:tc>
          <w:tcPr>
            <w:tcW w:w="1134"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大学语文A</w:t>
            </w:r>
          </w:p>
        </w:tc>
        <w:tc>
          <w:tcPr>
            <w:tcW w:w="124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大学语文B</w:t>
            </w:r>
          </w:p>
        </w:tc>
        <w:tc>
          <w:tcPr>
            <w:tcW w:w="116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5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5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7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811"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277" w:hRule="atLeast"/>
        </w:trPr>
        <w:tc>
          <w:tcPr>
            <w:tcW w:w="1134" w:type="dxa"/>
            <w:tcBorders>
              <w:top w:val="nil"/>
              <w:left w:val="single" w:color="auto" w:sz="4" w:space="0"/>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体育</w:t>
            </w:r>
          </w:p>
        </w:tc>
        <w:tc>
          <w:tcPr>
            <w:tcW w:w="124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体育</w:t>
            </w:r>
          </w:p>
        </w:tc>
        <w:tc>
          <w:tcPr>
            <w:tcW w:w="116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体育</w:t>
            </w:r>
          </w:p>
        </w:tc>
        <w:tc>
          <w:tcPr>
            <w:tcW w:w="115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体育</w:t>
            </w:r>
          </w:p>
        </w:tc>
        <w:tc>
          <w:tcPr>
            <w:tcW w:w="125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76"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FABF8F"/>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811"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542" w:hRule="atLeast"/>
        </w:trPr>
        <w:tc>
          <w:tcPr>
            <w:tcW w:w="1134"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44"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社会统计学</w:t>
            </w:r>
          </w:p>
        </w:tc>
        <w:tc>
          <w:tcPr>
            <w:tcW w:w="1166"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社会调查</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方法</w:t>
            </w:r>
          </w:p>
        </w:tc>
        <w:tc>
          <w:tcPr>
            <w:tcW w:w="115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56"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76"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电子政务</w:t>
            </w:r>
          </w:p>
        </w:tc>
        <w:tc>
          <w:tcPr>
            <w:tcW w:w="811"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277" w:hRule="atLeast"/>
        </w:trPr>
        <w:tc>
          <w:tcPr>
            <w:tcW w:w="1134"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44"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社会学</w:t>
            </w:r>
          </w:p>
        </w:tc>
        <w:tc>
          <w:tcPr>
            <w:tcW w:w="1166"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5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56"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76"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社会心理学</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导论</w:t>
            </w:r>
          </w:p>
        </w:tc>
        <w:tc>
          <w:tcPr>
            <w:tcW w:w="113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811"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277" w:hRule="atLeast"/>
        </w:trPr>
        <w:tc>
          <w:tcPr>
            <w:tcW w:w="1134"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44"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经济学原理</w:t>
            </w:r>
          </w:p>
        </w:tc>
        <w:tc>
          <w:tcPr>
            <w:tcW w:w="1166"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5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56"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76"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发展经济学</w:t>
            </w:r>
          </w:p>
        </w:tc>
        <w:tc>
          <w:tcPr>
            <w:tcW w:w="811"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565" w:hRule="atLeast"/>
        </w:trPr>
        <w:tc>
          <w:tcPr>
            <w:tcW w:w="1134"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4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66"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人力资源</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管理</w:t>
            </w:r>
          </w:p>
        </w:tc>
        <w:tc>
          <w:tcPr>
            <w:tcW w:w="1154" w:type="dxa"/>
            <w:tcBorders>
              <w:top w:val="single" w:color="auto" w:sz="4" w:space="0"/>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lang w:val="en-US"/>
              </w:rPr>
            </w:pPr>
          </w:p>
        </w:tc>
        <w:tc>
          <w:tcPr>
            <w:tcW w:w="1256"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76"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公务员制度</w:t>
            </w:r>
          </w:p>
        </w:tc>
        <w:tc>
          <w:tcPr>
            <w:tcW w:w="1134" w:type="dxa"/>
            <w:tcBorders>
              <w:top w:val="nil"/>
              <w:left w:val="nil"/>
              <w:bottom w:val="single" w:color="auto" w:sz="4" w:space="0"/>
              <w:right w:val="single" w:color="auto" w:sz="4" w:space="0"/>
            </w:tcBorders>
            <w:shd w:val="clear" w:color="000000" w:fill="FFFF0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薪酬管理</w:t>
            </w:r>
          </w:p>
        </w:tc>
        <w:tc>
          <w:tcPr>
            <w:tcW w:w="811"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392" w:hRule="atLeast"/>
        </w:trPr>
        <w:tc>
          <w:tcPr>
            <w:tcW w:w="1134"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4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66" w:type="dxa"/>
            <w:tcBorders>
              <w:top w:val="nil"/>
              <w:left w:val="nil"/>
              <w:bottom w:val="single" w:color="auto" w:sz="4" w:space="0"/>
              <w:right w:val="single" w:color="auto" w:sz="4" w:space="0"/>
            </w:tcBorders>
            <w:shd w:val="clear" w:color="000000" w:fill="92D05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公共部门人力资源管理</w:t>
            </w:r>
          </w:p>
        </w:tc>
        <w:tc>
          <w:tcPr>
            <w:tcW w:w="1154" w:type="dxa"/>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lang w:val="en-US"/>
              </w:rPr>
            </w:pPr>
          </w:p>
        </w:tc>
        <w:tc>
          <w:tcPr>
            <w:tcW w:w="1256" w:type="dxa"/>
            <w:tcBorders>
              <w:top w:val="nil"/>
              <w:left w:val="single" w:color="auto" w:sz="4" w:space="0"/>
              <w:bottom w:val="single" w:color="auto" w:sz="4" w:space="0"/>
              <w:right w:val="single" w:color="auto" w:sz="4" w:space="0"/>
            </w:tcBorders>
            <w:shd w:val="clear" w:color="000000" w:fill="FFFF0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公共项目管理</w:t>
            </w:r>
          </w:p>
        </w:tc>
        <w:tc>
          <w:tcPr>
            <w:tcW w:w="1276" w:type="dxa"/>
            <w:tcBorders>
              <w:top w:val="nil"/>
              <w:left w:val="nil"/>
              <w:bottom w:val="single" w:color="auto" w:sz="4" w:space="0"/>
              <w:right w:val="single" w:color="auto" w:sz="4" w:space="0"/>
            </w:tcBorders>
            <w:shd w:val="clear" w:color="000000" w:fill="FFFF0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公共关系学</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(学期不同)</w:t>
            </w:r>
          </w:p>
        </w:tc>
        <w:tc>
          <w:tcPr>
            <w:tcW w:w="1134" w:type="dxa"/>
            <w:tcBorders>
              <w:top w:val="nil"/>
              <w:left w:val="nil"/>
              <w:bottom w:val="single" w:color="auto" w:sz="4" w:space="0"/>
              <w:right w:val="single" w:color="auto" w:sz="4" w:space="0"/>
            </w:tcBorders>
            <w:shd w:val="clear" w:color="000000" w:fill="92D05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市政管理学</w:t>
            </w:r>
          </w:p>
        </w:tc>
        <w:tc>
          <w:tcPr>
            <w:tcW w:w="811"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392" w:hRule="atLeast"/>
        </w:trPr>
        <w:tc>
          <w:tcPr>
            <w:tcW w:w="1134" w:type="dxa"/>
            <w:tcBorders>
              <w:top w:val="nil"/>
              <w:left w:val="single" w:color="auto" w:sz="4" w:space="0"/>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管理学</w:t>
            </w:r>
          </w:p>
        </w:tc>
        <w:tc>
          <w:tcPr>
            <w:tcW w:w="124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66"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公共管理学</w:t>
            </w:r>
          </w:p>
        </w:tc>
        <w:tc>
          <w:tcPr>
            <w:tcW w:w="1154" w:type="dxa"/>
            <w:tcBorders>
              <w:top w:val="single" w:color="auto" w:sz="4" w:space="0"/>
              <w:left w:val="nil"/>
              <w:bottom w:val="single" w:color="auto" w:sz="4" w:space="0"/>
              <w:right w:val="single" w:color="auto" w:sz="4" w:space="0"/>
            </w:tcBorders>
            <w:shd w:val="clear" w:color="000000" w:fill="92D05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行政管理学</w:t>
            </w:r>
          </w:p>
        </w:tc>
        <w:tc>
          <w:tcPr>
            <w:tcW w:w="1256" w:type="dxa"/>
            <w:tcBorders>
              <w:top w:val="nil"/>
              <w:left w:val="nil"/>
              <w:bottom w:val="single" w:color="auto" w:sz="4" w:space="0"/>
              <w:right w:val="single" w:color="auto" w:sz="4" w:space="0"/>
            </w:tcBorders>
            <w:shd w:val="clear" w:color="000000" w:fill="92D05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公共管理外语</w:t>
            </w:r>
          </w:p>
        </w:tc>
        <w:tc>
          <w:tcPr>
            <w:tcW w:w="1276"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公共政策分析</w:t>
            </w:r>
          </w:p>
        </w:tc>
        <w:tc>
          <w:tcPr>
            <w:tcW w:w="1134" w:type="dxa"/>
            <w:tcBorders>
              <w:top w:val="nil"/>
              <w:left w:val="nil"/>
              <w:bottom w:val="single" w:color="auto" w:sz="4" w:space="0"/>
              <w:right w:val="single" w:color="auto" w:sz="4" w:space="0"/>
            </w:tcBorders>
            <w:shd w:val="clear" w:color="000000" w:fill="92D05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公共管理</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学术前沿</w:t>
            </w:r>
          </w:p>
        </w:tc>
        <w:tc>
          <w:tcPr>
            <w:tcW w:w="811"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392" w:hRule="atLeast"/>
        </w:trPr>
        <w:tc>
          <w:tcPr>
            <w:tcW w:w="1134"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244"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66" w:type="dxa"/>
            <w:tcBorders>
              <w:top w:val="nil"/>
              <w:left w:val="nil"/>
              <w:bottom w:val="single" w:color="auto" w:sz="4" w:space="0"/>
              <w:right w:val="single" w:color="auto" w:sz="4" w:space="0"/>
            </w:tcBorders>
            <w:shd w:val="clear" w:color="000000" w:fill="92D05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非营利组织管理</w:t>
            </w:r>
          </w:p>
        </w:tc>
        <w:tc>
          <w:tcPr>
            <w:tcW w:w="1154" w:type="dxa"/>
            <w:tcBorders>
              <w:top w:val="nil"/>
              <w:left w:val="nil"/>
              <w:bottom w:val="single" w:color="auto" w:sz="4" w:space="0"/>
              <w:right w:val="single" w:color="auto" w:sz="4" w:space="0"/>
            </w:tcBorders>
            <w:shd w:val="clear" w:color="000000" w:fill="92D05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社会组织</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运营与管理</w:t>
            </w:r>
          </w:p>
        </w:tc>
        <w:tc>
          <w:tcPr>
            <w:tcW w:w="1256" w:type="dxa"/>
            <w:tcBorders>
              <w:top w:val="nil"/>
              <w:left w:val="nil"/>
              <w:bottom w:val="single" w:color="auto" w:sz="4" w:space="0"/>
              <w:right w:val="single" w:color="auto" w:sz="4" w:space="0"/>
            </w:tcBorders>
            <w:shd w:val="clear" w:color="000000" w:fill="92D05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公共经济学</w:t>
            </w:r>
          </w:p>
        </w:tc>
        <w:tc>
          <w:tcPr>
            <w:tcW w:w="1276" w:type="dxa"/>
            <w:tcBorders>
              <w:top w:val="nil"/>
              <w:left w:val="nil"/>
              <w:bottom w:val="single" w:color="auto" w:sz="4" w:space="0"/>
              <w:right w:val="single" w:color="auto" w:sz="4" w:space="0"/>
            </w:tcBorders>
            <w:shd w:val="clear" w:color="000000" w:fill="92D05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公共组织学</w:t>
            </w:r>
          </w:p>
        </w:tc>
        <w:tc>
          <w:tcPr>
            <w:tcW w:w="1134" w:type="dxa"/>
            <w:tcBorders>
              <w:top w:val="nil"/>
              <w:left w:val="nil"/>
              <w:bottom w:val="single" w:color="auto" w:sz="4" w:space="0"/>
              <w:right w:val="single" w:color="auto" w:sz="4" w:space="0"/>
            </w:tcBorders>
            <w:shd w:val="clear" w:color="000000" w:fill="92D05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社区管理</w:t>
            </w:r>
          </w:p>
        </w:tc>
        <w:tc>
          <w:tcPr>
            <w:tcW w:w="811"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392" w:hRule="atLeast"/>
        </w:trPr>
        <w:tc>
          <w:tcPr>
            <w:tcW w:w="1134" w:type="dxa"/>
            <w:tcBorders>
              <w:top w:val="nil"/>
              <w:left w:val="single" w:color="auto" w:sz="4" w:space="0"/>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心理健康</w:t>
            </w:r>
          </w:p>
        </w:tc>
        <w:tc>
          <w:tcPr>
            <w:tcW w:w="1244"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心理健康</w:t>
            </w:r>
          </w:p>
        </w:tc>
        <w:tc>
          <w:tcPr>
            <w:tcW w:w="1166" w:type="dxa"/>
            <w:tcBorders>
              <w:top w:val="nil"/>
              <w:left w:val="nil"/>
              <w:bottom w:val="single" w:color="auto" w:sz="4" w:space="0"/>
              <w:right w:val="single" w:color="auto" w:sz="4" w:space="0"/>
            </w:tcBorders>
            <w:shd w:val="clear" w:color="000000" w:fill="92D05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公共管理</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法律基础</w:t>
            </w:r>
          </w:p>
        </w:tc>
        <w:tc>
          <w:tcPr>
            <w:tcW w:w="1154" w:type="dxa"/>
            <w:tcBorders>
              <w:top w:val="nil"/>
              <w:left w:val="nil"/>
              <w:bottom w:val="single" w:color="auto" w:sz="4" w:space="0"/>
              <w:right w:val="single" w:color="auto" w:sz="4" w:space="0"/>
            </w:tcBorders>
            <w:shd w:val="clear" w:color="000000" w:fill="92D05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公共事业</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管理学</w:t>
            </w:r>
          </w:p>
        </w:tc>
        <w:tc>
          <w:tcPr>
            <w:tcW w:w="1256" w:type="dxa"/>
            <w:tcBorders>
              <w:top w:val="nil"/>
              <w:left w:val="nil"/>
              <w:bottom w:val="single" w:color="auto" w:sz="4" w:space="0"/>
              <w:right w:val="single" w:color="auto" w:sz="4" w:space="0"/>
            </w:tcBorders>
            <w:shd w:val="clear" w:color="000000" w:fill="FFFF0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公共组织</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财务管理学</w:t>
            </w:r>
          </w:p>
        </w:tc>
        <w:tc>
          <w:tcPr>
            <w:tcW w:w="1276"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92D05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811" w:type="dxa"/>
            <w:tcBorders>
              <w:top w:val="nil"/>
              <w:left w:val="nil"/>
              <w:bottom w:val="nil"/>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r>
        <w:tblPrEx>
          <w:tblCellMar>
            <w:top w:w="0" w:type="dxa"/>
            <w:left w:w="108" w:type="dxa"/>
            <w:bottom w:w="0" w:type="dxa"/>
            <w:right w:w="108" w:type="dxa"/>
          </w:tblCellMar>
        </w:tblPrEx>
        <w:trPr>
          <w:trHeight w:val="392" w:hRule="atLeast"/>
        </w:trPr>
        <w:tc>
          <w:tcPr>
            <w:tcW w:w="1134" w:type="dxa"/>
            <w:tcBorders>
              <w:top w:val="nil"/>
              <w:left w:val="single" w:color="auto" w:sz="4" w:space="0"/>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创业基础</w:t>
            </w:r>
          </w:p>
        </w:tc>
        <w:tc>
          <w:tcPr>
            <w:tcW w:w="1244"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职业发展与</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就业指导A</w:t>
            </w:r>
          </w:p>
        </w:tc>
        <w:tc>
          <w:tcPr>
            <w:tcW w:w="1166"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54" w:type="dxa"/>
            <w:tcBorders>
              <w:top w:val="nil"/>
              <w:left w:val="nil"/>
              <w:bottom w:val="single" w:color="auto" w:sz="4" w:space="0"/>
              <w:right w:val="single" w:color="auto" w:sz="4" w:space="0"/>
            </w:tcBorders>
            <w:shd w:val="clear" w:color="000000" w:fill="D9D9D9"/>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职业发展与就业指导B</w:t>
            </w:r>
          </w:p>
        </w:tc>
        <w:tc>
          <w:tcPr>
            <w:tcW w:w="1256" w:type="dxa"/>
            <w:tcBorders>
              <w:top w:val="nil"/>
              <w:left w:val="nil"/>
              <w:bottom w:val="single" w:color="auto" w:sz="4" w:space="0"/>
              <w:right w:val="single" w:color="auto" w:sz="4" w:space="0"/>
            </w:tcBorders>
            <w:shd w:val="clear" w:color="000000" w:fill="92D05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社会组织</w:t>
            </w:r>
          </w:p>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创新与发展</w:t>
            </w:r>
          </w:p>
        </w:tc>
        <w:tc>
          <w:tcPr>
            <w:tcW w:w="1276"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c>
          <w:tcPr>
            <w:tcW w:w="1134" w:type="dxa"/>
            <w:tcBorders>
              <w:top w:val="nil"/>
              <w:left w:val="nil"/>
              <w:bottom w:val="single" w:color="auto" w:sz="4" w:space="0"/>
              <w:right w:val="single" w:color="auto" w:sz="4" w:space="0"/>
            </w:tcBorders>
            <w:shd w:val="clear" w:color="000000" w:fill="92D050"/>
            <w:vAlign w:val="bottom"/>
          </w:tcPr>
          <w:p>
            <w:pPr>
              <w:widowControl/>
              <w:jc w:val="center"/>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志愿服务概论</w:t>
            </w:r>
          </w:p>
        </w:tc>
        <w:tc>
          <w:tcPr>
            <w:tcW w:w="811" w:type="dxa"/>
            <w:tcBorders>
              <w:top w:val="nil"/>
              <w:left w:val="nil"/>
              <w:bottom w:val="single" w:color="auto" w:sz="4" w:space="0"/>
              <w:right w:val="single" w:color="auto" w:sz="4" w:space="0"/>
            </w:tcBorders>
            <w:shd w:val="clear" w:color="000000" w:fill="FFC000"/>
            <w:vAlign w:val="center"/>
          </w:tcPr>
          <w:p>
            <w:pPr>
              <w:widowControl/>
              <w:jc w:val="left"/>
              <w:rPr>
                <w:rFonts w:ascii="Times New Roman" w:hAnsi="Times New Roman" w:eastAsia="宋体" w:cs="Times New Roman"/>
                <w:color w:val="000000"/>
                <w:kern w:val="0"/>
                <w:sz w:val="16"/>
                <w:szCs w:val="16"/>
                <w:lang w:val="en-US"/>
              </w:rPr>
            </w:pPr>
            <w:r>
              <w:rPr>
                <w:rFonts w:ascii="Times New Roman" w:hAnsi="Times New Roman" w:eastAsia="宋体" w:cs="Times New Roman"/>
                <w:color w:val="000000"/>
                <w:kern w:val="0"/>
                <w:sz w:val="16"/>
                <w:szCs w:val="16"/>
                <w:lang w:val="en-US"/>
              </w:rPr>
              <w:t>　</w:t>
            </w:r>
          </w:p>
        </w:tc>
      </w:tr>
    </w:tbl>
    <w:p>
      <w:pPr>
        <w:rPr>
          <w:rFonts w:ascii="Times New Roman" w:hAnsi="Times New Roman" w:cs="Times New Roman"/>
          <w:sz w:val="20"/>
          <w:szCs w:val="28"/>
        </w:rPr>
      </w:pPr>
      <w:r>
        <w:rPr>
          <w:rFonts w:ascii="Times New Roman" w:hAnsi="Times New Roman" w:cs="Times New Roman"/>
          <w:sz w:val="20"/>
          <w:szCs w:val="28"/>
        </w:rPr>
        <w:t>注：学期7新增薪酬管理。公共关系学在学期6</w:t>
      </w: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spacing w:line="360" w:lineRule="auto"/>
        <w:rPr>
          <w:rFonts w:ascii="Times New Roman" w:hAnsi="Times New Roman" w:cs="Times New Roman"/>
          <w:b/>
          <w:sz w:val="32"/>
          <w:szCs w:val="24"/>
        </w:rPr>
      </w:pPr>
      <w:r>
        <w:rPr>
          <w:rFonts w:hint="eastAsia" w:ascii="Times New Roman" w:hAnsi="Times New Roman" w:cs="Times New Roman"/>
          <w:b/>
          <w:sz w:val="32"/>
          <w:szCs w:val="24"/>
        </w:rPr>
        <w:t>公共管理系情况总体说明</w:t>
      </w:r>
    </w:p>
    <w:p>
      <w:pPr>
        <w:spacing w:line="36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劳动与社会保障、公共事业管理是公共管理类下两个细分专业。</w:t>
      </w:r>
    </w:p>
    <w:p>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自2019年开始本校采取大类招生，以公共管理类进行招生工作。</w:t>
      </w:r>
    </w:p>
    <w:p>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劳动与社会保障、公共事业管理两专业是公共管理硕士学位授权点（MPA）的重要依托专业。</w:t>
      </w:r>
      <w:r>
        <w:rPr>
          <w:rFonts w:ascii="Times New Roman" w:hAnsi="Times New Roman" w:cs="Times New Roman"/>
          <w:sz w:val="24"/>
          <w:szCs w:val="24"/>
        </w:rPr>
        <w:t>师资力量强，现有：</w:t>
      </w:r>
    </w:p>
    <w:tbl>
      <w:tblPr>
        <w:tblStyle w:val="14"/>
        <w:tblW w:w="0" w:type="auto"/>
        <w:jc w:val="center"/>
        <w:tblLayout w:type="autofit"/>
        <w:tblCellMar>
          <w:top w:w="0" w:type="dxa"/>
          <w:left w:w="108" w:type="dxa"/>
          <w:bottom w:w="0" w:type="dxa"/>
          <w:right w:w="108" w:type="dxa"/>
        </w:tblCellMar>
      </w:tblPr>
      <w:tblGrid>
        <w:gridCol w:w="5193"/>
      </w:tblGrid>
      <w:tr>
        <w:tblPrEx>
          <w:tblCellMar>
            <w:top w:w="0" w:type="dxa"/>
            <w:left w:w="108" w:type="dxa"/>
            <w:bottom w:w="0" w:type="dxa"/>
            <w:right w:w="108" w:type="dxa"/>
          </w:tblCellMar>
        </w:tblPrEx>
        <w:trPr>
          <w:trHeight w:val="442" w:hRule="atLeast"/>
          <w:jc w:val="center"/>
        </w:trPr>
        <w:tc>
          <w:tcPr>
            <w:tcW w:w="5193" w:type="dxa"/>
          </w:tcPr>
          <w:p>
            <w:pPr>
              <w:spacing w:line="360" w:lineRule="auto"/>
              <w:rPr>
                <w:rFonts w:ascii="Times New Roman" w:hAnsi="Times New Roman" w:cs="Times New Roman"/>
                <w:b/>
                <w:bCs/>
                <w:sz w:val="24"/>
                <w:szCs w:val="24"/>
              </w:rPr>
            </w:pPr>
          </w:p>
        </w:tc>
      </w:tr>
      <w:tr>
        <w:tblPrEx>
          <w:tblCellMar>
            <w:top w:w="0" w:type="dxa"/>
            <w:left w:w="108" w:type="dxa"/>
            <w:bottom w:w="0" w:type="dxa"/>
            <w:right w:w="108" w:type="dxa"/>
          </w:tblCellMar>
        </w:tblPrEx>
        <w:trPr>
          <w:trHeight w:val="442" w:hRule="atLeast"/>
          <w:jc w:val="center"/>
        </w:trPr>
        <w:tc>
          <w:tcPr>
            <w:tcW w:w="5193" w:type="dxa"/>
            <w:shd w:val="clear" w:color="auto" w:fill="F1F1F1" w:themeFill="background1" w:themeFillShade="F2"/>
          </w:tcPr>
          <w:p>
            <w:pPr>
              <w:spacing w:line="360" w:lineRule="auto"/>
              <w:rPr>
                <w:rFonts w:ascii="Times New Roman" w:hAnsi="Times New Roman" w:cs="Times New Roman"/>
                <w:b/>
                <w:bCs/>
                <w:sz w:val="24"/>
                <w:szCs w:val="24"/>
              </w:rPr>
            </w:pPr>
            <w:r>
              <w:rPr>
                <w:rFonts w:ascii="Times New Roman" w:hAnsi="Times New Roman" w:cs="Times New Roman"/>
                <w:b/>
                <w:bCs/>
                <w:sz w:val="24"/>
                <w:szCs w:val="24"/>
              </w:rPr>
              <w:t>河北省首批青年拔尖人才1名；</w:t>
            </w:r>
          </w:p>
        </w:tc>
      </w:tr>
      <w:tr>
        <w:tblPrEx>
          <w:tblCellMar>
            <w:top w:w="0" w:type="dxa"/>
            <w:left w:w="108" w:type="dxa"/>
            <w:bottom w:w="0" w:type="dxa"/>
            <w:right w:w="108" w:type="dxa"/>
          </w:tblCellMar>
        </w:tblPrEx>
        <w:trPr>
          <w:trHeight w:val="442" w:hRule="atLeast"/>
          <w:jc w:val="center"/>
        </w:trPr>
        <w:tc>
          <w:tcPr>
            <w:tcW w:w="5193" w:type="dxa"/>
          </w:tcPr>
          <w:p>
            <w:pPr>
              <w:spacing w:line="360" w:lineRule="auto"/>
              <w:rPr>
                <w:rFonts w:ascii="Times New Roman" w:hAnsi="Times New Roman" w:cs="Times New Roman"/>
                <w:b/>
                <w:bCs/>
                <w:sz w:val="24"/>
                <w:szCs w:val="24"/>
              </w:rPr>
            </w:pPr>
            <w:r>
              <w:rPr>
                <w:rFonts w:ascii="Times New Roman" w:hAnsi="Times New Roman" w:cs="Times New Roman"/>
                <w:b/>
                <w:bCs/>
                <w:sz w:val="24"/>
                <w:szCs w:val="24"/>
              </w:rPr>
              <w:t>河北省教育厅青年拔尖人才2名；</w:t>
            </w:r>
          </w:p>
        </w:tc>
      </w:tr>
      <w:tr>
        <w:tblPrEx>
          <w:tblCellMar>
            <w:top w:w="0" w:type="dxa"/>
            <w:left w:w="108" w:type="dxa"/>
            <w:bottom w:w="0" w:type="dxa"/>
            <w:right w:w="108" w:type="dxa"/>
          </w:tblCellMar>
        </w:tblPrEx>
        <w:trPr>
          <w:trHeight w:val="442" w:hRule="atLeast"/>
          <w:jc w:val="center"/>
        </w:trPr>
        <w:tc>
          <w:tcPr>
            <w:tcW w:w="5193" w:type="dxa"/>
            <w:shd w:val="clear" w:color="auto" w:fill="F1F1F1" w:themeFill="background1" w:themeFillShade="F2"/>
          </w:tcPr>
          <w:p>
            <w:pPr>
              <w:spacing w:line="360" w:lineRule="auto"/>
              <w:rPr>
                <w:rFonts w:ascii="Times New Roman" w:hAnsi="Times New Roman" w:cs="Times New Roman"/>
                <w:b/>
                <w:bCs/>
                <w:sz w:val="24"/>
                <w:szCs w:val="24"/>
              </w:rPr>
            </w:pPr>
            <w:r>
              <w:rPr>
                <w:rFonts w:ascii="Times New Roman" w:hAnsi="Times New Roman" w:cs="Times New Roman"/>
                <w:b/>
                <w:bCs/>
                <w:sz w:val="24"/>
                <w:szCs w:val="24"/>
              </w:rPr>
              <w:t>河北省教育厅优秀青年1名；</w:t>
            </w:r>
          </w:p>
        </w:tc>
      </w:tr>
      <w:tr>
        <w:tblPrEx>
          <w:tblCellMar>
            <w:top w:w="0" w:type="dxa"/>
            <w:left w:w="108" w:type="dxa"/>
            <w:bottom w:w="0" w:type="dxa"/>
            <w:right w:w="108" w:type="dxa"/>
          </w:tblCellMar>
        </w:tblPrEx>
        <w:trPr>
          <w:trHeight w:val="442" w:hRule="atLeast"/>
          <w:jc w:val="center"/>
        </w:trPr>
        <w:tc>
          <w:tcPr>
            <w:tcW w:w="5193" w:type="dxa"/>
          </w:tcPr>
          <w:p>
            <w:pPr>
              <w:spacing w:line="360" w:lineRule="auto"/>
              <w:rPr>
                <w:rFonts w:ascii="Times New Roman" w:hAnsi="Times New Roman" w:cs="Times New Roman"/>
                <w:b/>
                <w:bCs/>
                <w:sz w:val="24"/>
                <w:szCs w:val="24"/>
              </w:rPr>
            </w:pPr>
            <w:r>
              <w:rPr>
                <w:rFonts w:ascii="Times New Roman" w:hAnsi="Times New Roman" w:cs="Times New Roman"/>
                <w:b/>
                <w:bCs/>
                <w:sz w:val="24"/>
                <w:szCs w:val="24"/>
              </w:rPr>
              <w:t>博士后1名；</w:t>
            </w:r>
          </w:p>
        </w:tc>
      </w:tr>
      <w:tr>
        <w:tblPrEx>
          <w:tblCellMar>
            <w:top w:w="0" w:type="dxa"/>
            <w:left w:w="108" w:type="dxa"/>
            <w:bottom w:w="0" w:type="dxa"/>
            <w:right w:w="108" w:type="dxa"/>
          </w:tblCellMar>
        </w:tblPrEx>
        <w:trPr>
          <w:trHeight w:val="442" w:hRule="atLeast"/>
          <w:jc w:val="center"/>
        </w:trPr>
        <w:tc>
          <w:tcPr>
            <w:tcW w:w="5193" w:type="dxa"/>
            <w:shd w:val="clear" w:color="auto" w:fill="F1F1F1" w:themeFill="background1" w:themeFillShade="F2"/>
          </w:tcPr>
          <w:p>
            <w:pPr>
              <w:spacing w:line="360" w:lineRule="auto"/>
              <w:rPr>
                <w:rFonts w:ascii="Times New Roman" w:hAnsi="Times New Roman" w:cs="Times New Roman"/>
                <w:b/>
                <w:bCs/>
                <w:sz w:val="24"/>
                <w:szCs w:val="24"/>
              </w:rPr>
            </w:pPr>
            <w:r>
              <w:rPr>
                <w:rFonts w:ascii="Times New Roman" w:hAnsi="Times New Roman" w:cs="Times New Roman"/>
                <w:b/>
                <w:bCs/>
                <w:sz w:val="24"/>
                <w:szCs w:val="24"/>
              </w:rPr>
              <w:t>80%以上教师获得博士学位；</w:t>
            </w:r>
          </w:p>
        </w:tc>
      </w:tr>
      <w:tr>
        <w:tblPrEx>
          <w:tblCellMar>
            <w:top w:w="0" w:type="dxa"/>
            <w:left w:w="108" w:type="dxa"/>
            <w:bottom w:w="0" w:type="dxa"/>
            <w:right w:w="108" w:type="dxa"/>
          </w:tblCellMar>
        </w:tblPrEx>
        <w:trPr>
          <w:trHeight w:val="442" w:hRule="atLeast"/>
          <w:jc w:val="center"/>
        </w:trPr>
        <w:tc>
          <w:tcPr>
            <w:tcW w:w="5193" w:type="dxa"/>
          </w:tcPr>
          <w:p>
            <w:pPr>
              <w:spacing w:line="360" w:lineRule="auto"/>
              <w:rPr>
                <w:rFonts w:ascii="Times New Roman" w:hAnsi="Times New Roman" w:cs="Times New Roman"/>
                <w:b/>
                <w:bCs/>
                <w:sz w:val="24"/>
                <w:szCs w:val="24"/>
              </w:rPr>
            </w:pPr>
            <w:r>
              <w:rPr>
                <w:rFonts w:ascii="Times New Roman" w:hAnsi="Times New Roman" w:cs="Times New Roman"/>
                <w:b/>
                <w:bCs/>
                <w:sz w:val="24"/>
                <w:szCs w:val="24"/>
              </w:rPr>
              <w:t>专业课授课教师中，教授4名，副教授6名。</w:t>
            </w:r>
          </w:p>
        </w:tc>
      </w:tr>
      <w:tr>
        <w:tblPrEx>
          <w:tblCellMar>
            <w:top w:w="0" w:type="dxa"/>
            <w:left w:w="108" w:type="dxa"/>
            <w:bottom w:w="0" w:type="dxa"/>
            <w:right w:w="108" w:type="dxa"/>
          </w:tblCellMar>
        </w:tblPrEx>
        <w:trPr>
          <w:trHeight w:val="442" w:hRule="atLeast"/>
          <w:jc w:val="center"/>
        </w:trPr>
        <w:tc>
          <w:tcPr>
            <w:tcW w:w="5193" w:type="dxa"/>
            <w:shd w:val="clear" w:color="auto" w:fill="F1F1F1" w:themeFill="background1" w:themeFillShade="F2"/>
          </w:tcPr>
          <w:p>
            <w:pPr>
              <w:spacing w:line="360" w:lineRule="auto"/>
              <w:rPr>
                <w:rFonts w:ascii="Times New Roman" w:hAnsi="Times New Roman" w:cs="Times New Roman"/>
                <w:b/>
                <w:bCs/>
                <w:sz w:val="24"/>
                <w:szCs w:val="24"/>
              </w:rPr>
            </w:pPr>
            <w:r>
              <w:rPr>
                <w:rFonts w:ascii="Times New Roman" w:hAnsi="Times New Roman" w:cs="Times New Roman"/>
                <w:b/>
                <w:bCs/>
                <w:sz w:val="24"/>
                <w:szCs w:val="24"/>
              </w:rPr>
              <w:t>多名教师获得课堂教学质量奖，科研成果突出。</w:t>
            </w:r>
          </w:p>
        </w:tc>
      </w:tr>
    </w:tbl>
    <w:p>
      <w:pPr>
        <w:spacing w:line="360" w:lineRule="auto"/>
        <w:rPr>
          <w:rFonts w:ascii="Times New Roman" w:hAnsi="Times New Roman" w:cs="Times New Roman"/>
          <w:sz w:val="24"/>
          <w:szCs w:val="24"/>
        </w:rPr>
      </w:pPr>
      <w:r>
        <w:rPr>
          <w:rFonts w:ascii="Times New Roman" w:hAnsi="Times New Roman" w:cs="Times New Roman"/>
          <w:sz w:val="24"/>
          <w:szCs w:val="24"/>
        </w:rPr>
        <w:tab/>
      </w:r>
    </w:p>
    <w:p>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目前在区域协同发展、社会化养老服务、非营利组织管理等领域形成了具有较高学术价值和专业特色的成果。</w:t>
      </w:r>
    </w:p>
    <w:p>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该专业经过多年建设，配备先进的服务器和师生用计算机以及辅助教学的设备，安装电子政务实训、公务员考试模拟、社保基金实训、政府创新案例库等系列公共管理教学软件以及辅助开展调查研究的软件，为公共管理系的劳动和社会保障、公共事业管理两个专业以及公共管理硕士（MPA）的全体师生的教学和科研工作提供了良好的技术支持。</w:t>
      </w:r>
    </w:p>
    <w:p>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在国内，本专业与天津市社会团体管理局、天津市社会保险基金管理中心、河北省人力资源和社会保障厅等多家实践教学基地开展社会组织调查、毕业实习等合作。</w:t>
      </w:r>
    </w:p>
    <w:p>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在国际上，与爱尔兰利莫瑞克大学和美国加州大学河滨分校建立了合作办学关系。</w:t>
      </w:r>
    </w:p>
    <w:p>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该专业课程设置强调“厚基础，宽口径，重特色”，学生基础扎实，实践能力强，曾获“挑战杯”省级特等奖、国家级二等奖，全国公共管理案例大赛二等奖、2019年全国高校模拟集体谈判大赛一等奖等多项奖励。</w:t>
      </w:r>
    </w:p>
    <w:p>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学生专业基础扎实、综合素质高，就业率位居前列，在就业市场上具有较强的竞争力。学生保研考研率达到35%左右，多名学生保研到中国人民大学、浙江大学、吉林大学、中山大学、南京大学、南开大学等国内知名大学或赴英美等海外名校深造。</w:t>
      </w:r>
    </w:p>
    <w:p>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近三年毕业生去向的调查显示：超50%毕业生考取公务员、选调生和研究生，如天津市滨海新区纪检委、南开区民政局、北京市地税局、保定市委组织部几个代表性单位。其他就业在银行、企业人力资源管理工作较为集中，毕业生分布在京津冀、长三角、珠三角等全国各区域的大城市，涉及党政机关、教育、金融机构、企业等领域。就业单位普遍反映本专业毕业生踏实肯干，表现优异。</w:t>
      </w:r>
    </w:p>
    <w:p>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两个专业都致力于实现的目标是：</w:t>
      </w:r>
    </w:p>
    <w:p>
      <w:pPr>
        <w:spacing w:line="360" w:lineRule="auto"/>
        <w:ind w:firstLine="480" w:firstLineChars="200"/>
        <w:rPr>
          <w:rFonts w:ascii="Times New Roman" w:hAnsi="Times New Roman" w:eastAsia="宋体" w:cs="Times New Roman"/>
          <w:bCs/>
          <w:sz w:val="24"/>
          <w:szCs w:val="28"/>
        </w:rPr>
      </w:pPr>
      <w:r>
        <w:rPr>
          <w:rFonts w:ascii="Times New Roman" w:hAnsi="Times New Roman" w:eastAsia="宋体" w:cs="Times New Roman"/>
          <w:bCs/>
          <w:sz w:val="24"/>
          <w:szCs w:val="28"/>
        </w:rPr>
        <w:t>第一，课程体系结构合理，符合学生知识、能力、素质协调发展的要求，能根据社会需要做调整。</w:t>
      </w:r>
    </w:p>
    <w:p>
      <w:pPr>
        <w:spacing w:line="360" w:lineRule="auto"/>
        <w:ind w:firstLine="480" w:firstLineChars="200"/>
        <w:rPr>
          <w:rFonts w:ascii="Times New Roman" w:hAnsi="Times New Roman" w:eastAsia="宋体" w:cs="Times New Roman"/>
          <w:bCs/>
          <w:sz w:val="24"/>
          <w:szCs w:val="28"/>
        </w:rPr>
      </w:pPr>
      <w:r>
        <w:rPr>
          <w:rFonts w:ascii="Times New Roman" w:hAnsi="Times New Roman" w:eastAsia="宋体" w:cs="Times New Roman"/>
          <w:bCs/>
          <w:sz w:val="24"/>
          <w:szCs w:val="28"/>
        </w:rPr>
        <w:t>第二，增强实践教学，提升学生能力，体现学科交叉。</w:t>
      </w:r>
    </w:p>
    <w:p>
      <w:pPr>
        <w:spacing w:line="360" w:lineRule="auto"/>
        <w:ind w:firstLine="480" w:firstLineChars="200"/>
        <w:rPr>
          <w:rFonts w:ascii="Times New Roman" w:hAnsi="Times New Roman" w:eastAsia="宋体" w:cs="Times New Roman"/>
          <w:bCs/>
          <w:sz w:val="24"/>
          <w:szCs w:val="28"/>
        </w:rPr>
      </w:pPr>
      <w:r>
        <w:rPr>
          <w:rFonts w:ascii="Times New Roman" w:hAnsi="Times New Roman" w:eastAsia="宋体" w:cs="Times New Roman"/>
          <w:bCs/>
          <w:sz w:val="24"/>
          <w:szCs w:val="28"/>
        </w:rPr>
        <w:t>第三，劳动与社会保障与公共管理硕士在专业发展方面相互支撑与促进。</w:t>
      </w:r>
    </w:p>
    <w:p>
      <w:pPr>
        <w:spacing w:line="360" w:lineRule="auto"/>
        <w:ind w:firstLine="482" w:firstLineChars="200"/>
        <w:rPr>
          <w:rFonts w:ascii="Times New Roman" w:hAnsi="Times New Roman" w:eastAsia="宋体" w:cs="Times New Roman"/>
          <w:b/>
          <w:sz w:val="24"/>
          <w:szCs w:val="28"/>
        </w:rPr>
      </w:pPr>
      <w:r>
        <w:rPr>
          <w:rFonts w:ascii="Times New Roman" w:hAnsi="Times New Roman" w:eastAsia="宋体" w:cs="Times New Roman"/>
          <w:b/>
          <w:sz w:val="24"/>
          <w:szCs w:val="28"/>
        </w:rPr>
        <w:t>致力于在劳动与社会保障专业同公共事业管理专业之间设置交叉共享培养模块，同时对应MPA教学内容的延续，在未来真正实现实质性支撑局面。</w:t>
      </w:r>
    </w:p>
    <w:p>
      <w:pPr>
        <w:spacing w:line="312" w:lineRule="auto"/>
        <w:jc w:val="center"/>
        <w:rPr>
          <w:rFonts w:ascii="Times New Roman" w:hAnsi="Times New Roman" w:cs="Times New Roman"/>
          <w:sz w:val="28"/>
          <w:szCs w:val="28"/>
        </w:rPr>
      </w:pPr>
      <w:r>
        <w:rPr>
          <w:rFonts w:ascii="Times New Roman" w:hAnsi="Times New Roman" w:eastAsia="宋体" w:cs="Times New Roman"/>
          <w:sz w:val="24"/>
          <w:szCs w:val="28"/>
          <w:lang w:val="en-US"/>
        </w:rPr>
        <w:drawing>
          <wp:inline distT="0" distB="0" distL="0" distR="0">
            <wp:extent cx="2959100" cy="28778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963395" cy="2882031"/>
                    </a:xfrm>
                    <a:prstGeom prst="rect">
                      <a:avLst/>
                    </a:prstGeom>
                    <a:noFill/>
                    <a:ln>
                      <a:noFill/>
                    </a:ln>
                  </pic:spPr>
                </pic:pic>
              </a:graphicData>
            </a:graphic>
          </wp:inline>
        </w:drawing>
      </w:r>
    </w:p>
    <w:p>
      <w:pPr>
        <w:spacing w:line="360" w:lineRule="auto"/>
        <w:jc w:val="center"/>
        <w:rPr>
          <w:rFonts w:ascii="Times New Roman" w:hAnsi="Times New Roman" w:cs="Times New Roman"/>
          <w:sz w:val="24"/>
          <w:szCs w:val="24"/>
        </w:rPr>
      </w:pPr>
      <w:r>
        <w:rPr>
          <w:rFonts w:ascii="Times New Roman" w:hAnsi="Times New Roman" w:eastAsia="仿宋" w:cs="Times New Roman"/>
          <w:b/>
          <w:bCs/>
          <w:szCs w:val="21"/>
        </w:rPr>
        <w:t>图1 专业体系发展结构</w:t>
      </w:r>
    </w:p>
    <w:p>
      <w:pPr>
        <w:spacing w:line="360" w:lineRule="auto"/>
        <w:rPr>
          <w:rFonts w:ascii="Times New Roman" w:hAnsi="Times New Roman" w:cs="Times New Roman"/>
          <w:sz w:val="24"/>
          <w:szCs w:val="24"/>
        </w:rPr>
      </w:pPr>
    </w:p>
    <w:p>
      <w:pPr>
        <w:spacing w:line="360" w:lineRule="auto"/>
        <w:rPr>
          <w:rFonts w:hint="eastAsia" w:ascii="Times New Roman" w:hAnsi="Times New Roman" w:cs="Times New Roman"/>
          <w:sz w:val="24"/>
          <w:szCs w:val="24"/>
        </w:rPr>
      </w:pPr>
    </w:p>
    <w:tbl>
      <w:tblPr>
        <w:tblStyle w:val="13"/>
        <w:tblW w:w="0" w:type="auto"/>
        <w:tblInd w:w="0" w:type="dxa"/>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Layout w:type="autofit"/>
        <w:tblCellMar>
          <w:top w:w="0" w:type="dxa"/>
          <w:left w:w="108" w:type="dxa"/>
          <w:bottom w:w="0" w:type="dxa"/>
          <w:right w:w="108" w:type="dxa"/>
        </w:tblCellMar>
      </w:tblPr>
      <w:tblGrid>
        <w:gridCol w:w="5979"/>
        <w:gridCol w:w="2927"/>
      </w:tblGrid>
      <w:tr>
        <w:tblPrEx>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Ex>
        <w:tc>
          <w:tcPr>
            <w:tcW w:w="4411" w:type="dxa"/>
            <w:tcBorders>
              <w:bottom w:val="single" w:color="9CC2E5" w:themeColor="accent1" w:themeTint="99" w:sz="12" w:space="0"/>
              <w:insideH w:val="single" w:sz="12" w:space="0"/>
            </w:tcBorders>
          </w:tcPr>
          <w:p>
            <w:pPr>
              <w:spacing w:line="360" w:lineRule="auto"/>
              <w:rPr>
                <w:rFonts w:ascii="Times New Roman" w:hAnsi="Times New Roman" w:cs="Times New Roman"/>
                <w:b/>
                <w:bCs/>
                <w:sz w:val="24"/>
                <w:szCs w:val="24"/>
              </w:rPr>
            </w:pPr>
            <w:r>
              <w:rPr>
                <w:rFonts w:ascii="Times New Roman" w:hAnsi="Times New Roman" w:cs="Times New Roman"/>
                <w:b/>
                <w:bCs/>
                <w:lang w:val="en-US"/>
              </w:rPr>
              <w:drawing>
                <wp:inline distT="0" distB="0" distL="0" distR="0">
                  <wp:extent cx="3659505" cy="48793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659505" cy="4879340"/>
                          </a:xfrm>
                          <a:prstGeom prst="rect">
                            <a:avLst/>
                          </a:prstGeom>
                        </pic:spPr>
                      </pic:pic>
                    </a:graphicData>
                  </a:graphic>
                </wp:inline>
              </w:drawing>
            </w:r>
          </w:p>
        </w:tc>
        <w:tc>
          <w:tcPr>
            <w:tcW w:w="4411" w:type="dxa"/>
            <w:tcBorders>
              <w:bottom w:val="single" w:color="9CC2E5" w:themeColor="accent1" w:themeTint="99" w:sz="12" w:space="0"/>
              <w:insideH w:val="single" w:sz="12" w:space="0"/>
            </w:tcBorders>
          </w:tcPr>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MPA教育中心</w:t>
            </w: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val="0"/>
                <w:bCs/>
                <w:sz w:val="24"/>
                <w:szCs w:val="24"/>
              </w:rPr>
            </w:pPr>
            <w:r>
              <w:rPr>
                <w:rFonts w:ascii="Times New Roman" w:hAnsi="Times New Roman" w:cs="Times New Roman"/>
                <w:b w:val="0"/>
                <w:bCs/>
                <w:sz w:val="24"/>
                <w:szCs w:val="24"/>
              </w:rPr>
              <w:t>共有专任导师25人，</w:t>
            </w:r>
          </w:p>
          <w:p>
            <w:pPr>
              <w:spacing w:line="360" w:lineRule="auto"/>
              <w:rPr>
                <w:rFonts w:ascii="Times New Roman" w:hAnsi="Times New Roman" w:cs="Times New Roman"/>
                <w:b w:val="0"/>
                <w:bCs/>
                <w:sz w:val="24"/>
                <w:szCs w:val="24"/>
              </w:rPr>
            </w:pPr>
            <w:r>
              <w:rPr>
                <w:rFonts w:ascii="Times New Roman" w:hAnsi="Times New Roman" w:cs="Times New Roman"/>
                <w:b w:val="0"/>
                <w:bCs/>
                <w:sz w:val="24"/>
                <w:szCs w:val="24"/>
              </w:rPr>
              <w:t>其中教授10人，</w:t>
            </w:r>
          </w:p>
          <w:p>
            <w:pPr>
              <w:spacing w:line="360" w:lineRule="auto"/>
              <w:rPr>
                <w:rFonts w:ascii="Times New Roman" w:hAnsi="Times New Roman" w:cs="Times New Roman"/>
                <w:b w:val="0"/>
                <w:bCs/>
                <w:sz w:val="24"/>
                <w:szCs w:val="24"/>
              </w:rPr>
            </w:pPr>
            <w:r>
              <w:rPr>
                <w:rFonts w:ascii="Times New Roman" w:hAnsi="Times New Roman" w:cs="Times New Roman"/>
                <w:b w:val="0"/>
                <w:bCs/>
                <w:sz w:val="24"/>
                <w:szCs w:val="24"/>
              </w:rPr>
              <w:t>副教授15人，</w:t>
            </w:r>
          </w:p>
          <w:p>
            <w:pPr>
              <w:spacing w:line="360" w:lineRule="auto"/>
              <w:rPr>
                <w:rFonts w:ascii="Times New Roman" w:hAnsi="Times New Roman" w:cs="Times New Roman"/>
                <w:b w:val="0"/>
                <w:bCs/>
                <w:sz w:val="24"/>
                <w:szCs w:val="24"/>
              </w:rPr>
            </w:pPr>
            <w:r>
              <w:rPr>
                <w:rFonts w:ascii="Times New Roman" w:hAnsi="Times New Roman" w:cs="Times New Roman"/>
                <w:b w:val="0"/>
                <w:bCs/>
                <w:sz w:val="24"/>
                <w:szCs w:val="24"/>
              </w:rPr>
              <w:t>绝大多数教师拥有博士学位。</w:t>
            </w:r>
          </w:p>
          <w:p>
            <w:pPr>
              <w:spacing w:line="360" w:lineRule="auto"/>
              <w:rPr>
                <w:rFonts w:ascii="Times New Roman" w:hAnsi="Times New Roman" w:cs="Times New Roman"/>
                <w:b/>
                <w:bCs/>
                <w:sz w:val="24"/>
                <w:szCs w:val="24"/>
              </w:rPr>
            </w:pPr>
            <w:r>
              <w:rPr>
                <w:rFonts w:ascii="Times New Roman" w:hAnsi="Times New Roman" w:cs="Times New Roman"/>
                <w:b w:val="0"/>
                <w:bCs/>
                <w:sz w:val="24"/>
                <w:szCs w:val="24"/>
              </w:rPr>
              <w:t>中心依托与京津冀地区的六十余家实践基地，聘请了60余位兼职导师。</w:t>
            </w:r>
          </w:p>
        </w:tc>
      </w:tr>
    </w:tbl>
    <w:p>
      <w:pPr>
        <w:spacing w:line="360" w:lineRule="auto"/>
        <w:rPr>
          <w:rFonts w:ascii="Times New Roman" w:hAnsi="Times New Roman" w:cs="Times New Roman"/>
          <w:sz w:val="24"/>
          <w:szCs w:val="24"/>
        </w:rPr>
      </w:pPr>
      <w:r>
        <w:rPr>
          <w:rFonts w:ascii="Times New Roman" w:hAnsi="Times New Roman" w:cs="Times New Roman"/>
          <w:sz w:val="24"/>
          <w:szCs w:val="24"/>
        </w:rPr>
        <w:tab/>
      </w:r>
    </w:p>
    <w:p>
      <w:pPr>
        <w:spacing w:line="360" w:lineRule="auto"/>
        <w:rPr>
          <w:rFonts w:ascii="Times New Roman" w:hAnsi="Times New Roman" w:cs="Times New Roman"/>
          <w:b/>
          <w:sz w:val="28"/>
          <w:szCs w:val="24"/>
        </w:rPr>
      </w:pPr>
      <w:r>
        <w:rPr>
          <w:rFonts w:ascii="Times New Roman" w:hAnsi="Times New Roman" w:cs="Times New Roman"/>
          <w:b/>
          <w:sz w:val="28"/>
          <w:szCs w:val="24"/>
        </w:rPr>
        <w:tab/>
      </w:r>
      <w:r>
        <w:rPr>
          <w:rFonts w:ascii="Times New Roman" w:hAnsi="Times New Roman" w:cs="Times New Roman"/>
          <w:b/>
          <w:sz w:val="28"/>
          <w:szCs w:val="24"/>
        </w:rPr>
        <w:t>河北工业大学MPA项目</w:t>
      </w:r>
    </w:p>
    <w:p>
      <w:pPr>
        <w:spacing w:line="360" w:lineRule="auto"/>
        <w:rPr>
          <w:rFonts w:ascii="Times New Roman" w:hAnsi="Times New Roman" w:cs="Times New Roman"/>
          <w:sz w:val="24"/>
          <w:szCs w:val="24"/>
        </w:rPr>
      </w:pPr>
      <w:r>
        <w:rPr>
          <w:rFonts w:ascii="Times New Roman" w:hAnsi="Times New Roman" w:cs="Times New Roman"/>
          <w:sz w:val="24"/>
          <w:szCs w:val="24"/>
        </w:rPr>
        <w:tab/>
      </w:r>
    </w:p>
    <w:p>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由人文与法律学院主办，MPA培养工作由MPA教育中心负责。</w:t>
      </w:r>
    </w:p>
    <w:p>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河北工业大学MPA项目秉承学校工学并举、产学研相结合的办学传统，集中本校多学科优秀的师资力量，努力提高MPA课程教学水平，发挥学校隶属河北、地处天津、毗邻北京的区位优势，充分利用学校广泛的社会资源，努力为大家创造增长见识、开阔视野、施展才华的机会。</w:t>
      </w:r>
    </w:p>
    <w:p>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中心自成立以来，在师资队伍、课程建设、硬件设施等方面都取得了良好成绩。</w:t>
      </w:r>
    </w:p>
    <w:p>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为提高教学及科研水平，中心成立了专家咨询委员会，聘请了北京大学、南开大学、天津大学、国家科技部等高校和政府部门专家学者为中心发展提供专业的意见和建议。</w:t>
      </w:r>
    </w:p>
    <w:p>
      <w:pPr>
        <w:spacing w:line="360" w:lineRule="auto"/>
        <w:rPr>
          <w:rFonts w:ascii="Times New Roman" w:hAnsi="Times New Roman" w:cs="Times New Roman"/>
          <w:b/>
          <w:sz w:val="28"/>
          <w:szCs w:val="24"/>
        </w:rPr>
      </w:pPr>
      <w:r>
        <w:rPr>
          <w:rFonts w:ascii="Times New Roman" w:hAnsi="Times New Roman" w:cs="Times New Roman"/>
          <w:b/>
          <w:sz w:val="28"/>
          <w:szCs w:val="24"/>
        </w:rPr>
        <w:t>劳动与社会保障</w:t>
      </w:r>
      <w:r>
        <w:rPr>
          <w:rFonts w:hint="eastAsia" w:ascii="Times New Roman" w:hAnsi="Times New Roman" w:cs="Times New Roman"/>
          <w:b/>
          <w:sz w:val="28"/>
          <w:szCs w:val="24"/>
        </w:rPr>
        <w:t>专业</w:t>
      </w:r>
    </w:p>
    <w:p>
      <w:pPr>
        <w:spacing w:line="360" w:lineRule="auto"/>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国家和区域经济建设新的发展战略造成人力资源市场对人才培养有了全新的需求，在秉承本校“工学并举”的传统办学理念基础上，遵循“学-研-产”相结合的基本原则，在坚持培养理论与政策基础扎实及适应能力强的教学思想前提下，根据社会生活与管理出现的新趋势，灵活调整课程设置，培养学生不仅成为富有创新精神和实践能力的高素质复合型应用人才，同时具有高度的社会责任意识。未来将以劳动保障为聚焦向相邻专业领域辐射发展，其中将公共事业管理作为发展重点，并将其与公共管理硕士（Master of Public Administration，简称MPA）的建设与发展进行紧密结合，吸收与借鉴国内外先进办学经验和模式，通过合作办学与自身建设，争取与国际知名大学同类专业实现接轨。</w:t>
      </w:r>
    </w:p>
    <w:p>
      <w:pPr>
        <w:spacing w:line="300" w:lineRule="auto"/>
        <w:ind w:firstLine="560" w:firstLineChars="200"/>
        <w:jc w:val="center"/>
        <w:rPr>
          <w:rFonts w:ascii="Times New Roman" w:hAnsi="Times New Roman" w:cs="Times New Roman"/>
          <w:bCs/>
          <w:sz w:val="28"/>
          <w:szCs w:val="28"/>
        </w:rPr>
      </w:pPr>
      <w:r>
        <w:rPr>
          <w:rFonts w:ascii="Times New Roman" w:hAnsi="Times New Roman" w:cs="Times New Roman"/>
          <w:bCs/>
          <w:sz w:val="28"/>
          <w:szCs w:val="28"/>
          <w:lang w:val="en-US"/>
        </w:rPr>
        <w:drawing>
          <wp:inline distT="0" distB="0" distL="0" distR="0">
            <wp:extent cx="3296285" cy="1905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306224" cy="1910469"/>
                    </a:xfrm>
                    <a:prstGeom prst="rect">
                      <a:avLst/>
                    </a:prstGeom>
                    <a:noFill/>
                    <a:ln>
                      <a:noFill/>
                    </a:ln>
                  </pic:spPr>
                </pic:pic>
              </a:graphicData>
            </a:graphic>
          </wp:inline>
        </w:drawing>
      </w:r>
    </w:p>
    <w:p>
      <w:pPr>
        <w:jc w:val="center"/>
        <w:rPr>
          <w:rFonts w:ascii="Times New Roman" w:hAnsi="Times New Roman" w:eastAsia="仿宋" w:cs="Times New Roman"/>
          <w:b/>
          <w:bCs/>
          <w:szCs w:val="21"/>
        </w:rPr>
      </w:pPr>
      <w:r>
        <w:rPr>
          <w:rFonts w:ascii="Times New Roman" w:hAnsi="Times New Roman" w:eastAsia="仿宋" w:cs="Times New Roman"/>
          <w:b/>
          <w:bCs/>
          <w:szCs w:val="21"/>
        </w:rPr>
        <w:t>图2 专业定位</w:t>
      </w:r>
    </w:p>
    <w:p>
      <w:pPr>
        <w:jc w:val="center"/>
        <w:rPr>
          <w:rFonts w:ascii="Times New Roman" w:hAnsi="Times New Roman" w:eastAsia="仿宋" w:cs="Times New Roman"/>
          <w:b/>
          <w:bCs/>
          <w:szCs w:val="21"/>
        </w:rPr>
      </w:pPr>
    </w:p>
    <w:p>
      <w:pPr>
        <w:spacing w:line="300" w:lineRule="auto"/>
        <w:jc w:val="center"/>
        <w:rPr>
          <w:rFonts w:ascii="Times New Roman" w:hAnsi="Times New Roman" w:cs="Times New Roman"/>
          <w:bCs/>
          <w:sz w:val="24"/>
          <w:szCs w:val="28"/>
        </w:rPr>
      </w:pPr>
      <w:r>
        <w:rPr>
          <w:rFonts w:ascii="Times New Roman" w:hAnsi="Times New Roman" w:cs="Times New Roman"/>
          <w:bCs/>
          <w:sz w:val="24"/>
          <w:szCs w:val="28"/>
          <w:lang w:val="en-US"/>
        </w:rPr>
        <w:drawing>
          <wp:inline distT="0" distB="0" distL="0" distR="0">
            <wp:extent cx="3954780" cy="2245995"/>
            <wp:effectExtent l="0" t="0" r="762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957522" cy="2247961"/>
                    </a:xfrm>
                    <a:prstGeom prst="rect">
                      <a:avLst/>
                    </a:prstGeom>
                    <a:noFill/>
                    <a:ln>
                      <a:noFill/>
                    </a:ln>
                  </pic:spPr>
                </pic:pic>
              </a:graphicData>
            </a:graphic>
          </wp:inline>
        </w:drawing>
      </w:r>
    </w:p>
    <w:p>
      <w:pPr>
        <w:jc w:val="center"/>
        <w:rPr>
          <w:rFonts w:ascii="Times New Roman" w:hAnsi="Times New Roman" w:eastAsia="仿宋" w:cs="Times New Roman"/>
          <w:b/>
          <w:bCs/>
          <w:szCs w:val="21"/>
        </w:rPr>
      </w:pPr>
      <w:r>
        <w:rPr>
          <w:rFonts w:ascii="Times New Roman" w:hAnsi="Times New Roman" w:eastAsia="仿宋" w:cs="Times New Roman"/>
          <w:b/>
          <w:bCs/>
          <w:szCs w:val="21"/>
        </w:rPr>
        <w:t>图3 专业建设历史沿革</w:t>
      </w:r>
    </w:p>
    <w:p>
      <w:pPr>
        <w:spacing w:line="312" w:lineRule="auto"/>
        <w:ind w:firstLine="482" w:firstLineChars="200"/>
        <w:rPr>
          <w:rFonts w:ascii="Times New Roman" w:hAnsi="Times New Roman" w:eastAsia="黑体" w:cs="Times New Roman"/>
          <w:b/>
          <w:bCs/>
          <w:sz w:val="24"/>
          <w:szCs w:val="28"/>
        </w:rPr>
      </w:pPr>
    </w:p>
    <w:p>
      <w:pPr>
        <w:spacing w:line="312" w:lineRule="auto"/>
        <w:ind w:firstLine="482" w:firstLineChars="200"/>
        <w:rPr>
          <w:rFonts w:ascii="Times New Roman" w:hAnsi="Times New Roman" w:eastAsia="黑体" w:cs="Times New Roman"/>
          <w:b/>
          <w:bCs/>
          <w:sz w:val="24"/>
          <w:szCs w:val="28"/>
        </w:rPr>
      </w:pPr>
    </w:p>
    <w:p>
      <w:pPr>
        <w:spacing w:line="360" w:lineRule="auto"/>
        <w:ind w:firstLine="480" w:firstLineChars="200"/>
        <w:rPr>
          <w:rFonts w:ascii="Times New Roman" w:hAnsi="Times New Roman" w:cs="Times New Roman"/>
          <w:bCs/>
          <w:sz w:val="24"/>
          <w:szCs w:val="28"/>
        </w:rPr>
      </w:pPr>
      <w:r>
        <w:rPr>
          <w:rFonts w:ascii="Times New Roman" w:hAnsi="Times New Roman" w:cs="Times New Roman"/>
          <w:bCs/>
          <w:sz w:val="24"/>
          <w:szCs w:val="28"/>
        </w:rPr>
        <w:t>本专业的主要特色是：</w:t>
      </w:r>
    </w:p>
    <w:p>
      <w:pPr>
        <w:spacing w:line="360" w:lineRule="auto"/>
        <w:ind w:left="29" w:firstLine="484" w:firstLineChars="202"/>
        <w:rPr>
          <w:rFonts w:ascii="Times New Roman" w:hAnsi="Times New Roman" w:cs="Times New Roman"/>
          <w:bCs/>
          <w:sz w:val="24"/>
          <w:szCs w:val="28"/>
        </w:rPr>
      </w:pPr>
      <w:r>
        <w:rPr>
          <w:rFonts w:ascii="Times New Roman" w:hAnsi="Times New Roman" w:cs="Times New Roman"/>
          <w:bCs/>
          <w:sz w:val="24"/>
          <w:szCs w:val="28"/>
        </w:rPr>
        <w:t xml:space="preserve">第一，具有支撑专业的学科特色。利用在民生领域和公共事业管理领域有研究造诣的教师资源，开设与民生领域密切相关的社会保障、社会福利等主干理论课程；与公共事业管理领域密切相关的公共管理学、公共政策分析、行政管理学等理论课程；辅以人力资源管理及财政金融基础性课程，关注学科发展前沿，竭力拓宽学生知识视野与跨学科综合分析能力。 </w:t>
      </w:r>
    </w:p>
    <w:p>
      <w:pPr>
        <w:spacing w:line="360" w:lineRule="auto"/>
        <w:ind w:firstLine="480" w:firstLineChars="200"/>
        <w:rPr>
          <w:rFonts w:ascii="Times New Roman" w:hAnsi="Times New Roman" w:cs="Times New Roman"/>
          <w:bCs/>
          <w:sz w:val="24"/>
          <w:szCs w:val="28"/>
        </w:rPr>
      </w:pPr>
      <w:r>
        <w:rPr>
          <w:rFonts w:ascii="Times New Roman" w:hAnsi="Times New Roman" w:cs="Times New Roman"/>
          <w:bCs/>
          <w:sz w:val="24"/>
          <w:szCs w:val="28"/>
        </w:rPr>
        <w:t>第二，具有支撑专业的实践特色。已与17家企事业单位建立实习基地合作网络，覆盖天津市内六区及河北省石家庄、保定等地，着力提高学生理论与实践相结合的能力。</w:t>
      </w:r>
    </w:p>
    <w:p>
      <w:pPr>
        <w:spacing w:line="312" w:lineRule="auto"/>
        <w:ind w:left="29" w:firstLine="484" w:firstLineChars="202"/>
        <w:rPr>
          <w:rFonts w:ascii="Times New Roman" w:hAnsi="Times New Roman" w:cs="Times New Roman"/>
          <w:bCs/>
          <w:sz w:val="24"/>
          <w:szCs w:val="28"/>
        </w:rPr>
      </w:pPr>
      <w:r>
        <w:rPr>
          <w:rFonts w:ascii="Times New Roman" w:hAnsi="Times New Roman" w:cs="Times New Roman"/>
          <w:bCs/>
          <w:sz w:val="24"/>
          <w:szCs w:val="28"/>
          <w:lang w:val="en-US"/>
        </w:rPr>
        <w:drawing>
          <wp:inline distT="0" distB="0" distL="0" distR="0">
            <wp:extent cx="4434840" cy="3272790"/>
            <wp:effectExtent l="0" t="0" r="381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445896" cy="3281494"/>
                    </a:xfrm>
                    <a:prstGeom prst="rect">
                      <a:avLst/>
                    </a:prstGeom>
                    <a:noFill/>
                    <a:ln>
                      <a:noFill/>
                    </a:ln>
                  </pic:spPr>
                </pic:pic>
              </a:graphicData>
            </a:graphic>
          </wp:inline>
        </w:drawing>
      </w:r>
    </w:p>
    <w:p>
      <w:pPr>
        <w:spacing w:line="312" w:lineRule="auto"/>
        <w:ind w:left="29" w:firstLine="426" w:firstLineChars="202"/>
        <w:jc w:val="center"/>
        <w:rPr>
          <w:rFonts w:ascii="Times New Roman" w:hAnsi="Times New Roman" w:eastAsia="仿宋" w:cs="Times New Roman"/>
          <w:b/>
          <w:bCs/>
          <w:szCs w:val="21"/>
        </w:rPr>
      </w:pPr>
      <w:r>
        <w:rPr>
          <w:rFonts w:ascii="Times New Roman" w:hAnsi="Times New Roman" w:eastAsia="仿宋" w:cs="Times New Roman"/>
          <w:b/>
          <w:bCs/>
          <w:szCs w:val="21"/>
        </w:rPr>
        <w:t>图4现拥有可进行专业实践活动的政府公共服务部门区域分布</w:t>
      </w:r>
    </w:p>
    <w:p>
      <w:pPr>
        <w:spacing w:line="312" w:lineRule="auto"/>
        <w:ind w:left="29" w:firstLine="426" w:firstLineChars="202"/>
        <w:jc w:val="center"/>
        <w:rPr>
          <w:rFonts w:ascii="Times New Roman" w:hAnsi="Times New Roman" w:eastAsia="仿宋" w:cs="Times New Roman"/>
          <w:b/>
          <w:bCs/>
          <w:szCs w:val="21"/>
        </w:rPr>
      </w:pPr>
      <w:r>
        <w:rPr>
          <w:rFonts w:ascii="Times New Roman" w:hAnsi="Times New Roman" w:eastAsia="仿宋" w:cs="Times New Roman"/>
          <w:b/>
          <w:bCs/>
          <w:szCs w:val="21"/>
        </w:rPr>
        <w:t>与预计京津冀都市圈规划布局比较</w:t>
      </w:r>
    </w:p>
    <w:p>
      <w:pPr>
        <w:spacing w:line="360" w:lineRule="auto"/>
        <w:ind w:firstLine="480" w:firstLineChars="200"/>
        <w:rPr>
          <w:rFonts w:ascii="Times New Roman" w:hAnsi="Times New Roman" w:cs="Times New Roman"/>
          <w:bCs/>
          <w:sz w:val="24"/>
          <w:szCs w:val="28"/>
        </w:rPr>
      </w:pPr>
    </w:p>
    <w:p>
      <w:pPr>
        <w:spacing w:line="360" w:lineRule="auto"/>
        <w:ind w:firstLine="480" w:firstLineChars="200"/>
        <w:rPr>
          <w:rFonts w:ascii="Times New Roman" w:hAnsi="Times New Roman" w:cs="Times New Roman"/>
          <w:bCs/>
          <w:sz w:val="24"/>
          <w:szCs w:val="28"/>
        </w:rPr>
      </w:pPr>
      <w:r>
        <w:rPr>
          <w:rFonts w:ascii="Times New Roman" w:hAnsi="Times New Roman" w:cs="Times New Roman"/>
          <w:bCs/>
          <w:sz w:val="24"/>
          <w:szCs w:val="28"/>
        </w:rPr>
        <w:t>第三，具有支撑专业的国际教学交流特色。结合与欧美知名高校建立师资培训交流机制，培养具有中国立场、国际视野的卓越社会保障管理人才。</w:t>
      </w:r>
    </w:p>
    <w:p>
      <w:pPr>
        <w:spacing w:line="360" w:lineRule="auto"/>
        <w:ind w:firstLine="480" w:firstLineChars="200"/>
        <w:rPr>
          <w:rFonts w:ascii="Times New Roman" w:hAnsi="Times New Roman" w:cs="Times New Roman"/>
          <w:sz w:val="24"/>
          <w:szCs w:val="24"/>
        </w:rPr>
      </w:pPr>
      <w:r>
        <w:rPr>
          <w:rFonts w:ascii="Times New Roman" w:hAnsi="Times New Roman" w:cs="Times New Roman"/>
          <w:bCs/>
          <w:sz w:val="24"/>
          <w:szCs w:val="28"/>
        </w:rPr>
        <w:t>第四，具有专业领域拓展余地大的特点。和国外同类专业相比，尚有社会工作实务、特殊人群社会保障、人文健康科学、养老服务产业化等诸多领域发展空间。</w:t>
      </w:r>
    </w:p>
    <w:p>
      <w:pPr>
        <w:spacing w:line="360" w:lineRule="auto"/>
        <w:rPr>
          <w:rFonts w:ascii="Times New Roman" w:hAnsi="Times New Roman" w:cs="Times New Roman"/>
          <w:sz w:val="24"/>
          <w:szCs w:val="24"/>
        </w:rPr>
      </w:pPr>
      <w:r>
        <w:rPr>
          <w:rFonts w:ascii="Times New Roman" w:hAnsi="Times New Roman" w:cs="Times New Roman"/>
          <w:sz w:val="24"/>
          <w:szCs w:val="24"/>
        </w:rPr>
        <w:tab/>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学生毕业后适合工作领域：</w:t>
      </w:r>
    </w:p>
    <w:p>
      <w:pPr>
        <w:spacing w:line="360" w:lineRule="auto"/>
        <w:rPr>
          <w:rFonts w:ascii="Times New Roman" w:hAnsi="Times New Roman" w:cs="Times New Roman"/>
          <w:sz w:val="24"/>
          <w:szCs w:val="24"/>
        </w:rPr>
      </w:pPr>
    </w:p>
    <w:tbl>
      <w:tblPr>
        <w:tblStyle w:val="12"/>
        <w:tblW w:w="0" w:type="auto"/>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679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jc w:val="center"/>
        </w:trPr>
        <w:tc>
          <w:tcPr>
            <w:tcW w:w="6799" w:type="dxa"/>
          </w:tcPr>
          <w:p>
            <w:pPr>
              <w:spacing w:line="360" w:lineRule="auto"/>
              <w:rPr>
                <w:rFonts w:ascii="Times New Roman" w:hAnsi="Times New Roman" w:cs="Times New Roman"/>
                <w:b/>
                <w:bCs/>
                <w:sz w:val="22"/>
                <w:szCs w:val="24"/>
              </w:rPr>
            </w:pPr>
            <w:r>
              <w:rPr>
                <w:rFonts w:ascii="Times New Roman" w:hAnsi="Times New Roman" w:cs="Times New Roman"/>
                <w:b/>
                <w:bCs/>
                <w:sz w:val="22"/>
                <w:szCs w:val="24"/>
              </w:rPr>
              <w:t>在政府人力资源和社会保障部门从事政策研究和专业技术工作</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jc w:val="center"/>
        </w:trPr>
        <w:tc>
          <w:tcPr>
            <w:tcW w:w="6799" w:type="dxa"/>
            <w:shd w:val="clear" w:color="auto" w:fill="F1F1F1" w:themeFill="background1" w:themeFillShade="F2"/>
          </w:tcPr>
          <w:p>
            <w:pPr>
              <w:spacing w:line="360" w:lineRule="auto"/>
              <w:rPr>
                <w:rFonts w:ascii="Times New Roman" w:hAnsi="Times New Roman" w:cs="Times New Roman"/>
                <w:b/>
                <w:bCs/>
                <w:sz w:val="22"/>
                <w:szCs w:val="24"/>
              </w:rPr>
            </w:pPr>
            <w:r>
              <w:rPr>
                <w:rFonts w:ascii="Times New Roman" w:hAnsi="Times New Roman" w:cs="Times New Roman"/>
                <w:b/>
                <w:bCs/>
                <w:sz w:val="22"/>
                <w:szCs w:val="24"/>
              </w:rPr>
              <w:t>在企事业单位从事劳动就业管理</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jc w:val="center"/>
        </w:trPr>
        <w:tc>
          <w:tcPr>
            <w:tcW w:w="6799" w:type="dxa"/>
          </w:tcPr>
          <w:p>
            <w:pPr>
              <w:spacing w:line="360" w:lineRule="auto"/>
              <w:rPr>
                <w:rFonts w:ascii="Times New Roman" w:hAnsi="Times New Roman" w:cs="Times New Roman"/>
                <w:b/>
                <w:bCs/>
                <w:sz w:val="22"/>
                <w:szCs w:val="24"/>
              </w:rPr>
            </w:pPr>
            <w:r>
              <w:rPr>
                <w:rFonts w:ascii="Times New Roman" w:hAnsi="Times New Roman" w:cs="Times New Roman"/>
                <w:b/>
                <w:bCs/>
                <w:sz w:val="22"/>
                <w:szCs w:val="24"/>
              </w:rPr>
              <w:t>在企事业单位社会保险经办</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jc w:val="center"/>
        </w:trPr>
        <w:tc>
          <w:tcPr>
            <w:tcW w:w="6799" w:type="dxa"/>
            <w:shd w:val="clear" w:color="auto" w:fill="F1F1F1" w:themeFill="background1" w:themeFillShade="F2"/>
          </w:tcPr>
          <w:p>
            <w:pPr>
              <w:spacing w:line="360" w:lineRule="auto"/>
              <w:rPr>
                <w:rFonts w:ascii="Times New Roman" w:hAnsi="Times New Roman" w:cs="Times New Roman"/>
                <w:b/>
                <w:bCs/>
                <w:sz w:val="22"/>
                <w:szCs w:val="24"/>
              </w:rPr>
            </w:pPr>
            <w:r>
              <w:rPr>
                <w:rFonts w:ascii="Times New Roman" w:hAnsi="Times New Roman" w:cs="Times New Roman"/>
                <w:b/>
                <w:bCs/>
                <w:sz w:val="22"/>
                <w:szCs w:val="24"/>
              </w:rPr>
              <w:t>在企事业单位薪酬管理</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jc w:val="center"/>
        </w:trPr>
        <w:tc>
          <w:tcPr>
            <w:tcW w:w="6799" w:type="dxa"/>
          </w:tcPr>
          <w:p>
            <w:pPr>
              <w:spacing w:line="360" w:lineRule="auto"/>
              <w:rPr>
                <w:rFonts w:ascii="Times New Roman" w:hAnsi="Times New Roman" w:cs="Times New Roman"/>
                <w:b/>
                <w:bCs/>
                <w:sz w:val="22"/>
                <w:szCs w:val="24"/>
              </w:rPr>
            </w:pPr>
            <w:r>
              <w:rPr>
                <w:rFonts w:ascii="Times New Roman" w:hAnsi="Times New Roman" w:cs="Times New Roman"/>
                <w:b/>
                <w:bCs/>
                <w:sz w:val="22"/>
                <w:szCs w:val="24"/>
              </w:rPr>
              <w:t>在企事业单位劳动关系协调</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jc w:val="center"/>
        </w:trPr>
        <w:tc>
          <w:tcPr>
            <w:tcW w:w="6799" w:type="dxa"/>
            <w:shd w:val="clear" w:color="auto" w:fill="F1F1F1" w:themeFill="background1" w:themeFillShade="F2"/>
          </w:tcPr>
          <w:p>
            <w:pPr>
              <w:spacing w:line="360" w:lineRule="auto"/>
              <w:rPr>
                <w:rFonts w:ascii="Times New Roman" w:hAnsi="Times New Roman" w:cs="Times New Roman"/>
                <w:b/>
                <w:bCs/>
                <w:sz w:val="22"/>
                <w:szCs w:val="24"/>
              </w:rPr>
            </w:pPr>
            <w:r>
              <w:rPr>
                <w:rFonts w:ascii="Times New Roman" w:hAnsi="Times New Roman" w:cs="Times New Roman"/>
                <w:b/>
                <w:bCs/>
                <w:sz w:val="22"/>
                <w:szCs w:val="24"/>
              </w:rPr>
              <w:t>在企事业单位商业保险管理工作</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jc w:val="center"/>
        </w:trPr>
        <w:tc>
          <w:tcPr>
            <w:tcW w:w="6799" w:type="dxa"/>
          </w:tcPr>
          <w:p>
            <w:pPr>
              <w:spacing w:line="360" w:lineRule="auto"/>
              <w:rPr>
                <w:rFonts w:ascii="Times New Roman" w:hAnsi="Times New Roman" w:cs="Times New Roman"/>
                <w:b/>
                <w:bCs/>
                <w:sz w:val="22"/>
                <w:szCs w:val="24"/>
              </w:rPr>
            </w:pPr>
            <w:r>
              <w:rPr>
                <w:rFonts w:ascii="Times New Roman" w:hAnsi="Times New Roman" w:cs="Times New Roman"/>
                <w:b/>
                <w:bCs/>
                <w:sz w:val="22"/>
                <w:szCs w:val="24"/>
              </w:rPr>
              <w:t>基层社区管理相关工作</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jc w:val="center"/>
        </w:trPr>
        <w:tc>
          <w:tcPr>
            <w:tcW w:w="6799" w:type="dxa"/>
            <w:shd w:val="clear" w:color="auto" w:fill="F1F1F1" w:themeFill="background1" w:themeFillShade="F2"/>
          </w:tcPr>
          <w:p>
            <w:pPr>
              <w:spacing w:line="360" w:lineRule="auto"/>
              <w:rPr>
                <w:rFonts w:ascii="Times New Roman" w:hAnsi="Times New Roman" w:cs="Times New Roman"/>
                <w:b/>
                <w:bCs/>
                <w:sz w:val="22"/>
                <w:szCs w:val="24"/>
              </w:rPr>
            </w:pPr>
            <w:r>
              <w:rPr>
                <w:rFonts w:ascii="Times New Roman" w:hAnsi="Times New Roman" w:cs="Times New Roman"/>
                <w:b/>
                <w:bCs/>
                <w:sz w:val="22"/>
                <w:szCs w:val="24"/>
              </w:rPr>
              <w:t>高等院校和科研机构从事教学科研</w:t>
            </w:r>
          </w:p>
        </w:tc>
      </w:tr>
    </w:tbl>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核心课程：经济学原理、社会学、管理学、社会研究方法、公共经济学、公共管理学、劳动经济学、劳动关系、人力资源管理、薪酬管理、社会保障学、社会保障基金管理、社会保险、社会福利与救助、劳动与社会保障法、社会保障国际比较等。</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lang w:val="en-US"/>
        </w:rPr>
        <w:drawing>
          <wp:anchor distT="0" distB="0" distL="114300" distR="114300" simplePos="0" relativeHeight="251659264" behindDoc="0" locked="0" layoutInCell="1" allowOverlap="1">
            <wp:simplePos x="0" y="0"/>
            <wp:positionH relativeFrom="page">
              <wp:align>left</wp:align>
            </wp:positionH>
            <wp:positionV relativeFrom="paragraph">
              <wp:posOffset>192405</wp:posOffset>
            </wp:positionV>
            <wp:extent cx="7597140" cy="4022725"/>
            <wp:effectExtent l="0" t="0" r="381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597140" cy="4022876"/>
                    </a:xfrm>
                    <a:prstGeom prst="rect">
                      <a:avLst/>
                    </a:prstGeom>
                  </pic:spPr>
                </pic:pic>
              </a:graphicData>
            </a:graphic>
          </wp:anchor>
        </w:drawing>
      </w:r>
    </w:p>
    <w:p>
      <w:pPr>
        <w:spacing w:line="360" w:lineRule="auto"/>
        <w:rPr>
          <w:rFonts w:ascii="Times New Roman" w:hAnsi="Times New Roman" w:cs="Times New Roman"/>
          <w:sz w:val="24"/>
          <w:szCs w:val="24"/>
        </w:rPr>
      </w:pP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pPr>
        <w:spacing w:line="360" w:lineRule="auto"/>
        <w:ind w:firstLine="480" w:firstLineChars="200"/>
        <w:rPr>
          <w:rFonts w:ascii="Times New Roman" w:hAnsi="Times New Roman" w:cs="Times New Roman"/>
          <w:color w:val="FF0000"/>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lang w:val="en-US"/>
        </w:rPr>
        <w:drawing>
          <wp:anchor distT="0" distB="0" distL="114300" distR="114300" simplePos="0" relativeHeight="251660288" behindDoc="1" locked="0" layoutInCell="1" allowOverlap="1">
            <wp:simplePos x="0" y="0"/>
            <wp:positionH relativeFrom="page">
              <wp:align>left</wp:align>
            </wp:positionH>
            <wp:positionV relativeFrom="paragraph">
              <wp:posOffset>-904875</wp:posOffset>
            </wp:positionV>
            <wp:extent cx="7579995" cy="3138170"/>
            <wp:effectExtent l="0" t="0" r="1905" b="571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7579995" cy="3138059"/>
                    </a:xfrm>
                    <a:prstGeom prst="rect">
                      <a:avLst/>
                    </a:prstGeom>
                  </pic:spPr>
                </pic:pic>
              </a:graphicData>
            </a:graphic>
          </wp:anchor>
        </w:drawing>
      </w:r>
    </w:p>
    <w:p>
      <w:pPr>
        <w:spacing w:line="360" w:lineRule="auto"/>
        <w:ind w:firstLine="480" w:firstLineChars="200"/>
        <w:rPr>
          <w:rFonts w:ascii="Times New Roman" w:hAnsi="Times New Roman" w:cs="Times New Roman"/>
          <w:sz w:val="24"/>
          <w:szCs w:val="24"/>
        </w:rPr>
      </w:pPr>
    </w:p>
    <w:p>
      <w:pPr>
        <w:widowControl/>
        <w:snapToGrid w:val="0"/>
        <w:spacing w:line="360" w:lineRule="auto"/>
        <w:ind w:firstLine="482" w:firstLineChars="200"/>
        <w:jc w:val="left"/>
        <w:rPr>
          <w:rFonts w:ascii="Times New Roman" w:hAnsi="Times New Roman" w:cs="Times New Roman"/>
          <w:b/>
          <w:color w:val="444444"/>
          <w:kern w:val="0"/>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b/>
          <w:sz w:val="28"/>
          <w:szCs w:val="24"/>
        </w:rPr>
      </w:pPr>
    </w:p>
    <w:p>
      <w:pPr>
        <w:spacing w:line="360" w:lineRule="auto"/>
        <w:rPr>
          <w:rFonts w:ascii="Times New Roman" w:hAnsi="Times New Roman" w:cs="Times New Roman"/>
          <w:b/>
          <w:sz w:val="28"/>
          <w:szCs w:val="24"/>
        </w:rPr>
      </w:pPr>
      <w:r>
        <w:rPr>
          <w:rFonts w:ascii="Times New Roman" w:hAnsi="Times New Roman" w:cs="Times New Roman"/>
          <w:b/>
          <w:sz w:val="28"/>
          <w:szCs w:val="24"/>
        </w:rPr>
        <w:t>公共事业管理专业</w:t>
      </w:r>
    </w:p>
    <w:p>
      <w:pPr>
        <w:spacing w:line="360" w:lineRule="auto"/>
        <w:rPr>
          <w:rFonts w:ascii="Times New Roman" w:hAnsi="Times New Roman" w:cs="Times New Roman"/>
          <w:sz w:val="24"/>
          <w:szCs w:val="24"/>
        </w:rPr>
      </w:pPr>
      <w:r>
        <w:rPr>
          <w:rFonts w:ascii="Times New Roman" w:hAnsi="Times New Roman" w:cs="Times New Roman"/>
          <w:sz w:val="24"/>
          <w:szCs w:val="24"/>
        </w:rPr>
        <w:tab/>
      </w:r>
    </w:p>
    <w:p>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本专业培养适应社会经济发展需要，德智体美全面发展，践行社会主义核心价值观，具有社会责任感和公共意识、公共精神，具备扎实公共事业管理理论基础，掌握国家公共政策法规，熟悉电子政务等实务操作技能，具备服务面向京津冀及其他经济区域发展长期所需要的知识和技能，富有国际视野、创新精神与创新创业能力的高素质现代公共管理专门人才。</w:t>
      </w:r>
    </w:p>
    <w:p>
      <w:pPr>
        <w:spacing w:line="360" w:lineRule="auto"/>
        <w:rPr>
          <w:rFonts w:hint="eastAsia"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在校期间着重培养学生“通识能力”、“专业能力”和“实践能力”。</w:t>
      </w:r>
    </w:p>
    <w:p>
      <w:pPr>
        <w:spacing w:line="52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培养目标的特色</w:t>
      </w:r>
    </w:p>
    <w:p>
      <w:pPr>
        <w:spacing w:line="52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第一，鉴于公共事业管理专业与公共部门的天然强联系以及以往各届毕业生就业特点，依托我校“双一流”高标准高要求的建设发展平台，将党政机关、事业单位（包括高校）等公共部门作为本专业学生就业深造的主要去向，并力促成为精英人才。本专业将采取更多切实措施力保此培养特色目标方向的高效实现，使本专业成为未来公务人员和未来公共管理专家学者的培养启航港。</w:t>
      </w:r>
    </w:p>
    <w:p>
      <w:pPr>
        <w:spacing w:line="52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第二，将服务于京津冀区域作为本专业提升影响力的主要区域。</w:t>
      </w:r>
    </w:p>
    <w:p>
      <w:pPr>
        <w:spacing w:line="52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第三，本专业培养的学生应有较强社会适应能力和社会责任感，不仅能在各种单位施展才华，还能适应新时代发展趋势，能“创新创业”，甚至为社会创造就业岗位，故将“创新创业能力”培养作为本专业的一个培养目标，此也契合我校“工学并举”的办学特色，并力求通过通识课程及第二课堂等，将我校在理工科的优势有机融于本专业学生素质提升之中。</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学生毕业后能够工作的领域有：</w:t>
      </w:r>
    </w:p>
    <w:p>
      <w:pPr>
        <w:spacing w:line="360" w:lineRule="auto"/>
        <w:rPr>
          <w:rFonts w:ascii="Times New Roman" w:hAnsi="Times New Roman" w:cs="Times New Roman"/>
          <w:sz w:val="24"/>
          <w:szCs w:val="24"/>
        </w:rPr>
      </w:pPr>
    </w:p>
    <w:tbl>
      <w:tblPr>
        <w:tblStyle w:val="12"/>
        <w:tblW w:w="0" w:type="auto"/>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2551"/>
        <w:gridCol w:w="311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77" w:hRule="atLeast"/>
          <w:jc w:val="center"/>
        </w:trPr>
        <w:tc>
          <w:tcPr>
            <w:tcW w:w="2551" w:type="dxa"/>
          </w:tcPr>
          <w:p>
            <w:pPr>
              <w:spacing w:line="360" w:lineRule="auto"/>
              <w:jc w:val="center"/>
              <w:rPr>
                <w:rFonts w:ascii="Times New Roman" w:hAnsi="Times New Roman" w:cs="Times New Roman"/>
                <w:b/>
                <w:bCs/>
                <w:sz w:val="22"/>
                <w:szCs w:val="24"/>
              </w:rPr>
            </w:pPr>
            <w:r>
              <w:rPr>
                <w:rFonts w:ascii="Times New Roman" w:hAnsi="Times New Roman" w:cs="Times New Roman"/>
                <w:b/>
                <w:bCs/>
                <w:sz w:val="22"/>
                <w:szCs w:val="24"/>
              </w:rPr>
              <w:t>党政机关</w:t>
            </w:r>
          </w:p>
        </w:tc>
        <w:tc>
          <w:tcPr>
            <w:tcW w:w="3119" w:type="dxa"/>
            <w:vMerge w:val="restart"/>
          </w:tcPr>
          <w:p>
            <w:pPr>
              <w:spacing w:line="360" w:lineRule="auto"/>
              <w:jc w:val="center"/>
              <w:rPr>
                <w:rFonts w:ascii="Times New Roman" w:hAnsi="Times New Roman" w:cs="Times New Roman"/>
                <w:b/>
                <w:bCs/>
                <w:sz w:val="22"/>
                <w:szCs w:val="24"/>
              </w:rPr>
            </w:pPr>
            <w:r>
              <w:rPr>
                <w:rFonts w:ascii="Times New Roman" w:hAnsi="Times New Roman" w:cs="Times New Roman"/>
                <w:b/>
                <w:bCs/>
                <w:sz w:val="22"/>
                <w:szCs w:val="24"/>
              </w:rPr>
              <w:t>从事公共政策分析与研究、</w:t>
            </w:r>
          </w:p>
          <w:p>
            <w:pPr>
              <w:spacing w:line="360" w:lineRule="auto"/>
              <w:jc w:val="center"/>
              <w:rPr>
                <w:rFonts w:ascii="Times New Roman" w:hAnsi="Times New Roman" w:cs="Times New Roman"/>
                <w:b/>
                <w:bCs/>
                <w:sz w:val="22"/>
                <w:szCs w:val="24"/>
              </w:rPr>
            </w:pPr>
            <w:r>
              <w:rPr>
                <w:rFonts w:ascii="Times New Roman" w:hAnsi="Times New Roman" w:cs="Times New Roman"/>
                <w:b/>
                <w:bCs/>
                <w:sz w:val="22"/>
                <w:szCs w:val="24"/>
              </w:rPr>
              <w:t>公共项目管理、</w:t>
            </w:r>
          </w:p>
          <w:p>
            <w:pPr>
              <w:spacing w:line="360" w:lineRule="auto"/>
              <w:jc w:val="center"/>
              <w:rPr>
                <w:rFonts w:ascii="Times New Roman" w:hAnsi="Times New Roman" w:cs="Times New Roman"/>
                <w:b/>
                <w:bCs/>
                <w:sz w:val="22"/>
                <w:szCs w:val="24"/>
              </w:rPr>
            </w:pPr>
            <w:r>
              <w:rPr>
                <w:rFonts w:ascii="Times New Roman" w:hAnsi="Times New Roman" w:cs="Times New Roman"/>
                <w:b/>
                <w:bCs/>
                <w:sz w:val="22"/>
                <w:szCs w:val="24"/>
              </w:rPr>
              <w:t>公共关系管理、</w:t>
            </w:r>
          </w:p>
          <w:p>
            <w:pPr>
              <w:spacing w:line="360" w:lineRule="auto"/>
              <w:jc w:val="center"/>
              <w:rPr>
                <w:rFonts w:ascii="Times New Roman" w:hAnsi="Times New Roman" w:cs="Times New Roman"/>
                <w:b/>
                <w:bCs/>
                <w:sz w:val="22"/>
                <w:szCs w:val="24"/>
              </w:rPr>
            </w:pPr>
            <w:r>
              <w:rPr>
                <w:rFonts w:ascii="Times New Roman" w:hAnsi="Times New Roman" w:cs="Times New Roman"/>
                <w:b/>
                <w:bCs/>
                <w:sz w:val="22"/>
                <w:szCs w:val="24"/>
              </w:rPr>
              <w:t>公共组织运营、</w:t>
            </w:r>
          </w:p>
          <w:p>
            <w:pPr>
              <w:spacing w:line="360" w:lineRule="auto"/>
              <w:jc w:val="center"/>
              <w:rPr>
                <w:rFonts w:ascii="Times New Roman" w:hAnsi="Times New Roman" w:cs="Times New Roman"/>
                <w:b/>
                <w:bCs/>
                <w:sz w:val="22"/>
                <w:szCs w:val="24"/>
              </w:rPr>
            </w:pPr>
            <w:r>
              <w:rPr>
                <w:rFonts w:ascii="Times New Roman" w:hAnsi="Times New Roman" w:cs="Times New Roman"/>
                <w:b/>
                <w:bCs/>
                <w:sz w:val="22"/>
                <w:szCs w:val="24"/>
              </w:rPr>
              <w:t>行政管理等系列工作</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78" w:hRule="atLeast"/>
          <w:jc w:val="center"/>
        </w:trPr>
        <w:tc>
          <w:tcPr>
            <w:tcW w:w="2551" w:type="dxa"/>
            <w:shd w:val="clear" w:color="auto" w:fill="F1F1F1" w:themeFill="background1" w:themeFillShade="F2"/>
          </w:tcPr>
          <w:p>
            <w:pPr>
              <w:spacing w:line="360" w:lineRule="auto"/>
              <w:jc w:val="center"/>
              <w:rPr>
                <w:rFonts w:ascii="Times New Roman" w:hAnsi="Times New Roman" w:cs="Times New Roman"/>
                <w:b/>
                <w:bCs/>
                <w:sz w:val="22"/>
                <w:szCs w:val="24"/>
              </w:rPr>
            </w:pPr>
            <w:r>
              <w:rPr>
                <w:rFonts w:ascii="Times New Roman" w:hAnsi="Times New Roman" w:cs="Times New Roman"/>
                <w:b/>
                <w:bCs/>
                <w:sz w:val="22"/>
                <w:szCs w:val="24"/>
              </w:rPr>
              <w:t>事业单位</w:t>
            </w:r>
          </w:p>
        </w:tc>
        <w:tc>
          <w:tcPr>
            <w:tcW w:w="3119" w:type="dxa"/>
            <w:vMerge w:val="continue"/>
            <w:shd w:val="clear" w:color="auto" w:fill="F1F1F1" w:themeFill="background1" w:themeFillShade="F2"/>
          </w:tcPr>
          <w:p>
            <w:pPr>
              <w:spacing w:line="360" w:lineRule="auto"/>
              <w:rPr>
                <w:rFonts w:ascii="Times New Roman" w:hAnsi="Times New Roman" w:cs="Times New Roman"/>
                <w:sz w:val="22"/>
                <w:szCs w:val="24"/>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77" w:hRule="atLeast"/>
          <w:jc w:val="center"/>
        </w:trPr>
        <w:tc>
          <w:tcPr>
            <w:tcW w:w="2551" w:type="dxa"/>
          </w:tcPr>
          <w:p>
            <w:pPr>
              <w:spacing w:line="360" w:lineRule="auto"/>
              <w:jc w:val="center"/>
              <w:rPr>
                <w:rFonts w:ascii="Times New Roman" w:hAnsi="Times New Roman" w:cs="Times New Roman"/>
                <w:b/>
                <w:bCs/>
                <w:sz w:val="22"/>
                <w:szCs w:val="24"/>
              </w:rPr>
            </w:pPr>
            <w:r>
              <w:rPr>
                <w:rFonts w:ascii="Times New Roman" w:hAnsi="Times New Roman" w:cs="Times New Roman"/>
                <w:b/>
                <w:bCs/>
                <w:sz w:val="22"/>
                <w:szCs w:val="24"/>
              </w:rPr>
              <w:t>社会团体等公共部门</w:t>
            </w:r>
          </w:p>
        </w:tc>
        <w:tc>
          <w:tcPr>
            <w:tcW w:w="3119" w:type="dxa"/>
            <w:vMerge w:val="continue"/>
          </w:tcPr>
          <w:p>
            <w:pPr>
              <w:spacing w:line="360" w:lineRule="auto"/>
              <w:rPr>
                <w:rFonts w:ascii="Times New Roman" w:hAnsi="Times New Roman" w:cs="Times New Roman"/>
                <w:sz w:val="22"/>
                <w:szCs w:val="24"/>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78" w:hRule="atLeast"/>
          <w:jc w:val="center"/>
        </w:trPr>
        <w:tc>
          <w:tcPr>
            <w:tcW w:w="2551" w:type="dxa"/>
            <w:shd w:val="clear" w:color="auto" w:fill="F1F1F1" w:themeFill="background1" w:themeFillShade="F2"/>
          </w:tcPr>
          <w:p>
            <w:pPr>
              <w:spacing w:line="360" w:lineRule="auto"/>
              <w:jc w:val="center"/>
              <w:rPr>
                <w:rFonts w:ascii="Times New Roman" w:hAnsi="Times New Roman" w:cs="Times New Roman"/>
                <w:b/>
                <w:bCs/>
                <w:sz w:val="22"/>
                <w:szCs w:val="24"/>
              </w:rPr>
            </w:pPr>
            <w:r>
              <w:rPr>
                <w:rFonts w:ascii="Times New Roman" w:hAnsi="Times New Roman" w:cs="Times New Roman"/>
                <w:b/>
                <w:bCs/>
                <w:sz w:val="22"/>
                <w:szCs w:val="24"/>
              </w:rPr>
              <w:t>其他公共管理单位</w:t>
            </w:r>
          </w:p>
        </w:tc>
        <w:tc>
          <w:tcPr>
            <w:tcW w:w="3119" w:type="dxa"/>
            <w:vMerge w:val="continue"/>
            <w:shd w:val="clear" w:color="auto" w:fill="F1F1F1" w:themeFill="background1" w:themeFillShade="F2"/>
          </w:tcPr>
          <w:p>
            <w:pPr>
              <w:spacing w:line="360" w:lineRule="auto"/>
              <w:rPr>
                <w:rFonts w:ascii="Times New Roman" w:hAnsi="Times New Roman" w:cs="Times New Roman"/>
                <w:sz w:val="22"/>
                <w:szCs w:val="24"/>
              </w:rPr>
            </w:pPr>
          </w:p>
        </w:tc>
      </w:tr>
    </w:tbl>
    <w:p>
      <w:pPr>
        <w:spacing w:line="360" w:lineRule="auto"/>
        <w:rPr>
          <w:rFonts w:ascii="Times New Roman" w:hAnsi="Times New Roman" w:cs="Times New Roman"/>
          <w:sz w:val="24"/>
          <w:szCs w:val="24"/>
        </w:rPr>
      </w:pPr>
    </w:p>
    <w:p>
      <w:pPr>
        <w:spacing w:line="360" w:lineRule="auto"/>
        <w:rPr>
          <w:rFonts w:hint="eastAsia"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核心课程：管理学、政治学、公共管理学、公共管理法律基础、财政学（公共经济学）、公共事业管理学、公共组织财务管理、公共项目管理、公共政策分析、公共组织管理、市政管理学。</w:t>
      </w: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sz w:val="24"/>
          <w:szCs w:val="24"/>
        </w:rPr>
      </w:pPr>
    </w:p>
    <w:p>
      <w:pPr>
        <w:spacing w:line="360" w:lineRule="auto"/>
        <w:rPr>
          <w:rFonts w:hint="eastAsia" w:ascii="Times New Roman" w:hAnsi="Times New Roman" w:cs="Times New Roman"/>
          <w:b/>
          <w:bCs/>
          <w:sz w:val="48"/>
          <w:szCs w:val="48"/>
          <w:lang w:val="en-US" w:eastAsia="zh-CN"/>
        </w:rPr>
      </w:pPr>
    </w:p>
    <w:p>
      <w:pPr>
        <w:spacing w:line="360" w:lineRule="auto"/>
        <w:ind w:firstLine="964" w:firstLineChars="200"/>
        <w:rPr>
          <w:rFonts w:hint="eastAsia" w:ascii="Times New Roman" w:hAnsi="Times New Roman" w:cs="Times New Roman"/>
          <w:b/>
          <w:bCs/>
          <w:sz w:val="48"/>
          <w:szCs w:val="48"/>
          <w:lang w:val="en-US" w:eastAsia="zh-CN"/>
        </w:rPr>
      </w:pPr>
      <w:r>
        <w:rPr>
          <w:rFonts w:hint="eastAsia" w:ascii="Times New Roman" w:hAnsi="Times New Roman" w:cs="Times New Roman"/>
          <w:b/>
          <w:bCs/>
          <w:sz w:val="48"/>
          <w:szCs w:val="48"/>
          <w:lang w:val="en-US" w:eastAsia="zh-CN"/>
        </w:rPr>
        <w:t>二、专业培养方案</w:t>
      </w:r>
    </w:p>
    <w:p>
      <w:pPr>
        <w:spacing w:line="360" w:lineRule="auto"/>
        <w:ind w:firstLine="964" w:firstLineChars="400"/>
        <w:rPr>
          <w:rFonts w:hint="default"/>
          <w:b/>
          <w:bCs/>
          <w:sz w:val="24"/>
          <w:lang w:val="en-US" w:eastAsia="zh-CN"/>
        </w:rPr>
      </w:pPr>
      <w:r>
        <w:rPr>
          <w:rFonts w:hint="eastAsia"/>
          <w:b/>
          <w:bCs/>
          <w:sz w:val="24"/>
          <w:lang w:val="en-US" w:eastAsia="zh-CN"/>
        </w:rPr>
        <w:t>具体另见文档：两个专业的培养方案</w:t>
      </w:r>
    </w:p>
    <w:p>
      <w:pPr>
        <w:spacing w:line="360" w:lineRule="auto"/>
        <w:rPr>
          <w:rFonts w:ascii="Times New Roman" w:hAnsi="Times New Roman" w:cs="Times New Roman"/>
          <w:sz w:val="24"/>
          <w:szCs w:val="24"/>
        </w:rPr>
      </w:pPr>
    </w:p>
    <w:p>
      <w:pPr>
        <w:spacing w:line="600" w:lineRule="auto"/>
        <w:ind w:firstLine="964" w:firstLineChars="200"/>
        <w:jc w:val="both"/>
        <w:rPr>
          <w:rFonts w:hint="default" w:ascii="Times New Roman" w:hAnsi="Times New Roman" w:cs="Times New Roman"/>
          <w:b/>
          <w:bCs/>
          <w:sz w:val="48"/>
          <w:szCs w:val="48"/>
          <w:lang w:val="en-US" w:eastAsia="zh-CN"/>
        </w:rPr>
      </w:pPr>
      <w:r>
        <w:rPr>
          <w:rFonts w:hint="eastAsia" w:ascii="Times New Roman" w:hAnsi="Times New Roman" w:cs="Times New Roman"/>
          <w:b/>
          <w:bCs/>
          <w:sz w:val="48"/>
          <w:szCs w:val="48"/>
          <w:lang w:val="en-US" w:eastAsia="zh-CN"/>
        </w:rPr>
        <w:t>三、实施办法</w:t>
      </w:r>
    </w:p>
    <w:p>
      <w:pPr>
        <w:spacing w:after="312" w:line="360" w:lineRule="auto"/>
        <w:jc w:val="center"/>
        <w:textAlignment w:val="baseline"/>
        <w:rPr>
          <w:rStyle w:val="17"/>
          <w:rFonts w:cs="Times New Roman"/>
          <w:b/>
          <w:bCs/>
          <w:kern w:val="2"/>
          <w:sz w:val="36"/>
          <w:szCs w:val="24"/>
          <w:lang w:val="en-US" w:eastAsia="zh-CN" w:bidi="ar-SA"/>
        </w:rPr>
      </w:pPr>
      <w:r>
        <w:rPr>
          <w:rStyle w:val="17"/>
          <w:rFonts w:cs="Times New Roman"/>
          <w:b/>
          <w:bCs/>
          <w:kern w:val="2"/>
          <w:sz w:val="36"/>
          <w:szCs w:val="24"/>
          <w:lang w:val="en-US" w:eastAsia="zh-CN" w:bidi="ar-SA"/>
        </w:rPr>
        <w:t>人文与法律学院本科生专业分流实施办法</w:t>
      </w:r>
    </w:p>
    <w:p>
      <w:pPr>
        <w:spacing w:line="360" w:lineRule="auto"/>
        <w:ind w:firstLine="480" w:firstLineChars="200"/>
        <w:jc w:val="both"/>
        <w:textAlignment w:val="baseline"/>
        <w:rPr>
          <w:rStyle w:val="17"/>
          <w:kern w:val="2"/>
          <w:sz w:val="24"/>
          <w:szCs w:val="24"/>
          <w:lang w:val="en-US" w:eastAsia="zh-CN" w:bidi="ar-SA"/>
        </w:rPr>
      </w:pPr>
      <w:r>
        <w:rPr>
          <w:rStyle w:val="17"/>
          <w:rFonts w:hint="eastAsia"/>
          <w:kern w:val="2"/>
          <w:sz w:val="24"/>
          <w:szCs w:val="24"/>
          <w:lang w:val="en-US" w:eastAsia="zh-CN" w:bidi="ar-SA"/>
        </w:rPr>
        <w:t>根据</w:t>
      </w:r>
      <w:r>
        <w:rPr>
          <w:rStyle w:val="17"/>
          <w:kern w:val="2"/>
          <w:sz w:val="24"/>
          <w:szCs w:val="24"/>
          <w:lang w:val="en-US" w:eastAsia="zh-CN" w:bidi="ar-SA"/>
        </w:rPr>
        <w:t>学院2019年公共管理本科大类招生</w:t>
      </w:r>
      <w:r>
        <w:rPr>
          <w:rStyle w:val="17"/>
          <w:rFonts w:hint="eastAsia"/>
          <w:kern w:val="2"/>
          <w:sz w:val="24"/>
          <w:szCs w:val="24"/>
          <w:lang w:val="en-US" w:eastAsia="zh-CN" w:bidi="ar-SA"/>
        </w:rPr>
        <w:t>和培养规划</w:t>
      </w:r>
      <w:r>
        <w:rPr>
          <w:rStyle w:val="17"/>
          <w:kern w:val="2"/>
          <w:sz w:val="24"/>
          <w:szCs w:val="24"/>
          <w:lang w:val="en-US" w:eastAsia="zh-CN" w:bidi="ar-SA"/>
        </w:rPr>
        <w:t>，</w:t>
      </w:r>
      <w:r>
        <w:rPr>
          <w:rStyle w:val="17"/>
          <w:rFonts w:hint="eastAsia"/>
          <w:kern w:val="2"/>
          <w:sz w:val="24"/>
          <w:szCs w:val="24"/>
          <w:lang w:val="en-US" w:eastAsia="zh-CN" w:bidi="ar-SA"/>
        </w:rPr>
        <w:t>第二学期末开展</w:t>
      </w:r>
      <w:r>
        <w:rPr>
          <w:rStyle w:val="17"/>
          <w:kern w:val="2"/>
          <w:sz w:val="24"/>
          <w:szCs w:val="24"/>
          <w:lang w:val="en-US" w:eastAsia="zh-CN" w:bidi="ar-SA"/>
        </w:rPr>
        <w:t>专业分流</w:t>
      </w:r>
      <w:r>
        <w:rPr>
          <w:rStyle w:val="17"/>
          <w:rFonts w:hint="eastAsia"/>
          <w:kern w:val="2"/>
          <w:sz w:val="24"/>
          <w:szCs w:val="24"/>
          <w:lang w:val="en-US" w:eastAsia="zh-CN" w:bidi="ar-SA"/>
        </w:rPr>
        <w:t>工作</w:t>
      </w:r>
      <w:r>
        <w:rPr>
          <w:rStyle w:val="17"/>
          <w:kern w:val="2"/>
          <w:sz w:val="24"/>
          <w:szCs w:val="24"/>
          <w:lang w:val="en-US" w:eastAsia="zh-CN" w:bidi="ar-SA"/>
        </w:rPr>
        <w:t>，在总结我院公共管理类本科生培养工作实践的基础上，制定专业分流具体实施办法。</w:t>
      </w:r>
    </w:p>
    <w:p>
      <w:pPr>
        <w:spacing w:line="360" w:lineRule="auto"/>
        <w:ind w:firstLine="482" w:firstLineChars="200"/>
        <w:jc w:val="both"/>
        <w:textAlignment w:val="baseline"/>
        <w:rPr>
          <w:rStyle w:val="17"/>
          <w:rFonts w:cs="Times New Roman"/>
          <w:b/>
          <w:bCs/>
          <w:kern w:val="2"/>
          <w:sz w:val="24"/>
          <w:szCs w:val="24"/>
          <w:lang w:val="en-US" w:eastAsia="zh-CN" w:bidi="ar-SA"/>
        </w:rPr>
      </w:pPr>
      <w:r>
        <w:rPr>
          <w:rStyle w:val="17"/>
          <w:rFonts w:cs="Times New Roman"/>
          <w:b/>
          <w:bCs/>
          <w:kern w:val="2"/>
          <w:sz w:val="24"/>
          <w:szCs w:val="24"/>
          <w:lang w:val="en-US" w:eastAsia="zh-CN" w:bidi="ar-SA"/>
        </w:rPr>
        <w:t>一、专业分流原则</w:t>
      </w:r>
    </w:p>
    <w:p>
      <w:pPr>
        <w:spacing w:line="360" w:lineRule="auto"/>
        <w:ind w:firstLine="480" w:firstLineChars="200"/>
        <w:jc w:val="both"/>
        <w:textAlignment w:val="baseline"/>
        <w:rPr>
          <w:rStyle w:val="17"/>
          <w:kern w:val="2"/>
          <w:sz w:val="24"/>
          <w:szCs w:val="24"/>
          <w:lang w:val="en-US" w:eastAsia="zh-CN" w:bidi="ar-SA"/>
        </w:rPr>
      </w:pPr>
      <w:r>
        <w:rPr>
          <w:rStyle w:val="17"/>
          <w:kern w:val="2"/>
          <w:sz w:val="24"/>
          <w:szCs w:val="24"/>
          <w:lang w:val="en-US" w:eastAsia="zh-CN" w:bidi="ar-SA"/>
        </w:rPr>
        <w:t>1.“公开、公平、公正”的原则</w:t>
      </w:r>
      <w:r>
        <w:rPr>
          <w:rStyle w:val="17"/>
          <w:rFonts w:hint="eastAsia"/>
          <w:kern w:val="2"/>
          <w:sz w:val="24"/>
          <w:szCs w:val="24"/>
          <w:lang w:val="en-US" w:eastAsia="zh-CN" w:bidi="ar-SA"/>
        </w:rPr>
        <w:t>。</w:t>
      </w:r>
    </w:p>
    <w:p>
      <w:pPr>
        <w:spacing w:line="360" w:lineRule="auto"/>
        <w:ind w:firstLine="480" w:firstLineChars="200"/>
        <w:jc w:val="both"/>
        <w:textAlignment w:val="baseline"/>
        <w:rPr>
          <w:rStyle w:val="17"/>
          <w:kern w:val="2"/>
          <w:sz w:val="24"/>
          <w:szCs w:val="24"/>
          <w:lang w:val="en-US" w:eastAsia="zh-CN" w:bidi="ar-SA"/>
        </w:rPr>
      </w:pPr>
      <w:r>
        <w:rPr>
          <w:rStyle w:val="17"/>
          <w:kern w:val="2"/>
          <w:sz w:val="24"/>
          <w:szCs w:val="24"/>
          <w:lang w:val="en-US" w:eastAsia="zh-CN" w:bidi="ar-SA"/>
        </w:rPr>
        <w:t>2.有利于促进学风建设、学生素质教育和创新精神培养的原则</w:t>
      </w:r>
      <w:r>
        <w:rPr>
          <w:rStyle w:val="17"/>
          <w:rFonts w:hint="eastAsia"/>
          <w:kern w:val="2"/>
          <w:sz w:val="24"/>
          <w:szCs w:val="24"/>
          <w:lang w:val="en-US" w:eastAsia="zh-CN" w:bidi="ar-SA"/>
        </w:rPr>
        <w:t>。</w:t>
      </w:r>
    </w:p>
    <w:p>
      <w:pPr>
        <w:spacing w:line="360" w:lineRule="auto"/>
        <w:ind w:firstLine="480" w:firstLineChars="200"/>
        <w:jc w:val="both"/>
        <w:textAlignment w:val="baseline"/>
        <w:rPr>
          <w:rStyle w:val="17"/>
          <w:kern w:val="2"/>
          <w:sz w:val="24"/>
          <w:szCs w:val="24"/>
          <w:lang w:val="en-US" w:eastAsia="zh-CN" w:bidi="ar-SA"/>
        </w:rPr>
      </w:pPr>
      <w:r>
        <w:rPr>
          <w:rStyle w:val="17"/>
          <w:kern w:val="2"/>
          <w:sz w:val="24"/>
          <w:szCs w:val="24"/>
          <w:lang w:val="en-US" w:eastAsia="zh-CN" w:bidi="ar-SA"/>
        </w:rPr>
        <w:t>3.有利于培养社会需求人才的原则</w:t>
      </w:r>
      <w:r>
        <w:rPr>
          <w:rStyle w:val="17"/>
          <w:rFonts w:hint="eastAsia"/>
          <w:kern w:val="2"/>
          <w:sz w:val="24"/>
          <w:szCs w:val="24"/>
          <w:lang w:val="en-US" w:eastAsia="zh-CN" w:bidi="ar-SA"/>
        </w:rPr>
        <w:t>。</w:t>
      </w:r>
    </w:p>
    <w:p>
      <w:pPr>
        <w:spacing w:line="360" w:lineRule="auto"/>
        <w:ind w:firstLine="480" w:firstLineChars="200"/>
        <w:jc w:val="both"/>
        <w:textAlignment w:val="baseline"/>
        <w:rPr>
          <w:rStyle w:val="17"/>
          <w:kern w:val="2"/>
          <w:sz w:val="24"/>
          <w:szCs w:val="24"/>
          <w:lang w:val="en-US" w:eastAsia="zh-CN" w:bidi="ar-SA"/>
        </w:rPr>
      </w:pPr>
      <w:r>
        <w:rPr>
          <w:rStyle w:val="17"/>
          <w:kern w:val="2"/>
          <w:sz w:val="24"/>
          <w:szCs w:val="24"/>
          <w:lang w:val="en-US" w:eastAsia="zh-CN" w:bidi="ar-SA"/>
        </w:rPr>
        <w:t>4.有利于学生个性发展。</w:t>
      </w:r>
    </w:p>
    <w:p>
      <w:pPr>
        <w:spacing w:line="360" w:lineRule="auto"/>
        <w:ind w:firstLine="482" w:firstLineChars="200"/>
        <w:jc w:val="both"/>
        <w:textAlignment w:val="baseline"/>
        <w:rPr>
          <w:rStyle w:val="17"/>
          <w:rFonts w:cs="Times New Roman"/>
          <w:b/>
          <w:bCs/>
          <w:kern w:val="2"/>
          <w:sz w:val="24"/>
          <w:szCs w:val="24"/>
          <w:lang w:val="en-US" w:eastAsia="zh-CN" w:bidi="ar-SA"/>
        </w:rPr>
      </w:pPr>
      <w:r>
        <w:rPr>
          <w:rStyle w:val="17"/>
          <w:rFonts w:cs="Times New Roman"/>
          <w:b/>
          <w:bCs/>
          <w:kern w:val="2"/>
          <w:sz w:val="24"/>
          <w:szCs w:val="24"/>
          <w:lang w:val="en-US" w:eastAsia="zh-CN" w:bidi="ar-SA"/>
        </w:rPr>
        <w:t>二、专业分流组织工作</w:t>
      </w:r>
    </w:p>
    <w:p>
      <w:pPr>
        <w:spacing w:line="360" w:lineRule="auto"/>
        <w:ind w:firstLine="480" w:firstLineChars="200"/>
        <w:jc w:val="both"/>
        <w:textAlignment w:val="baseline"/>
        <w:rPr>
          <w:rStyle w:val="17"/>
          <w:rFonts w:eastAsia="宋体"/>
          <w:kern w:val="2"/>
          <w:sz w:val="24"/>
          <w:szCs w:val="24"/>
          <w:lang w:val="en-US" w:eastAsia="zh-CN" w:bidi="ar-SA"/>
        </w:rPr>
      </w:pPr>
      <w:r>
        <w:rPr>
          <w:rStyle w:val="17"/>
          <w:kern w:val="2"/>
          <w:sz w:val="24"/>
          <w:szCs w:val="24"/>
          <w:lang w:val="en-US" w:eastAsia="zh-CN" w:bidi="ar-SA"/>
        </w:rPr>
        <w:t>1.学院</w:t>
      </w:r>
      <w:r>
        <w:rPr>
          <w:rStyle w:val="17"/>
          <w:rFonts w:hint="eastAsia"/>
          <w:kern w:val="2"/>
          <w:sz w:val="24"/>
          <w:szCs w:val="24"/>
          <w:lang w:val="en-US" w:eastAsia="zh-CN" w:bidi="ar-SA"/>
        </w:rPr>
        <w:t>成</w:t>
      </w:r>
      <w:r>
        <w:rPr>
          <w:rStyle w:val="17"/>
          <w:kern w:val="2"/>
          <w:sz w:val="24"/>
          <w:szCs w:val="24"/>
          <w:lang w:val="en-US" w:eastAsia="zh-CN" w:bidi="ar-SA"/>
        </w:rPr>
        <w:t>立本科生专业分流工作领导小组，负责工作方案制定、工作组织和监督，同时受理学生申诉、解决出现的问题，学院专业分流工作领导小组由院长任组长，其他学院领导以及学工组、教务和系负责人任成员。</w:t>
      </w:r>
    </w:p>
    <w:p>
      <w:pPr>
        <w:spacing w:line="360" w:lineRule="auto"/>
        <w:ind w:firstLine="480" w:firstLineChars="200"/>
        <w:jc w:val="both"/>
        <w:textAlignment w:val="baseline"/>
        <w:rPr>
          <w:rStyle w:val="17"/>
          <w:kern w:val="2"/>
          <w:sz w:val="24"/>
          <w:szCs w:val="24"/>
          <w:lang w:val="en-US" w:eastAsia="zh-CN" w:bidi="ar-SA"/>
        </w:rPr>
      </w:pPr>
      <w:r>
        <w:rPr>
          <w:rStyle w:val="17"/>
          <w:kern w:val="2"/>
          <w:sz w:val="24"/>
          <w:szCs w:val="24"/>
          <w:lang w:val="en-US" w:eastAsia="zh-CN" w:bidi="ar-SA"/>
        </w:rPr>
        <w:t>2.学院</w:t>
      </w:r>
      <w:r>
        <w:rPr>
          <w:rStyle w:val="17"/>
          <w:rFonts w:hint="eastAsia"/>
          <w:kern w:val="2"/>
          <w:sz w:val="24"/>
          <w:szCs w:val="24"/>
          <w:lang w:val="en-US" w:eastAsia="zh-CN" w:bidi="ar-SA"/>
        </w:rPr>
        <w:t>成</w:t>
      </w:r>
      <w:r>
        <w:rPr>
          <w:rStyle w:val="17"/>
          <w:kern w:val="2"/>
          <w:sz w:val="24"/>
          <w:szCs w:val="24"/>
          <w:lang w:val="en-US" w:eastAsia="zh-CN" w:bidi="ar-SA"/>
        </w:rPr>
        <w:t>立专业分流工作小组，在领导小组的领导下，负责专业分流工作的具体实施，工作小组由主管教学副院长和主管学生工作副书记任组长，学生工作人员、教学秘书、系负责人任成员。</w:t>
      </w:r>
    </w:p>
    <w:p>
      <w:pPr>
        <w:spacing w:line="360" w:lineRule="auto"/>
        <w:ind w:firstLine="480" w:firstLineChars="200"/>
        <w:jc w:val="both"/>
        <w:textAlignment w:val="baseline"/>
        <w:rPr>
          <w:rStyle w:val="17"/>
          <w:rFonts w:eastAsia="宋体"/>
          <w:kern w:val="2"/>
          <w:sz w:val="24"/>
          <w:szCs w:val="24"/>
          <w:lang w:val="en-US" w:eastAsia="zh-CN" w:bidi="ar-SA"/>
        </w:rPr>
      </w:pPr>
      <w:r>
        <w:rPr>
          <w:rStyle w:val="17"/>
          <w:kern w:val="2"/>
          <w:sz w:val="24"/>
          <w:szCs w:val="24"/>
          <w:lang w:val="en-US" w:eastAsia="zh-CN" w:bidi="ar-SA"/>
        </w:rPr>
        <w:t>3.学院</w:t>
      </w:r>
      <w:r>
        <w:rPr>
          <w:rStyle w:val="17"/>
          <w:rFonts w:hint="eastAsia"/>
          <w:kern w:val="2"/>
          <w:sz w:val="24"/>
          <w:szCs w:val="24"/>
          <w:lang w:val="en-US" w:eastAsia="zh-CN" w:bidi="ar-SA"/>
        </w:rPr>
        <w:t>成</w:t>
      </w:r>
      <w:r>
        <w:rPr>
          <w:rStyle w:val="17"/>
          <w:kern w:val="2"/>
          <w:sz w:val="24"/>
          <w:szCs w:val="24"/>
          <w:lang w:val="en-US" w:eastAsia="zh-CN" w:bidi="ar-SA"/>
        </w:rPr>
        <w:t>立专业分流咨询小组，负责提供与专业分流相关的资料信息以及相关问题的咨询解答，专业分流咨询小组由系负责人担任组长，</w:t>
      </w:r>
      <w:r>
        <w:rPr>
          <w:rStyle w:val="17"/>
          <w:rFonts w:hint="eastAsia"/>
          <w:kern w:val="2"/>
          <w:sz w:val="24"/>
          <w:szCs w:val="24"/>
          <w:lang w:val="en-US" w:eastAsia="zh-CN" w:bidi="ar-SA"/>
        </w:rPr>
        <w:t>辅导员和</w:t>
      </w:r>
      <w:r>
        <w:rPr>
          <w:rStyle w:val="17"/>
          <w:kern w:val="2"/>
          <w:sz w:val="24"/>
          <w:szCs w:val="24"/>
          <w:lang w:val="en-US" w:eastAsia="zh-CN" w:bidi="ar-SA"/>
        </w:rPr>
        <w:t>系内老师为成员。</w:t>
      </w:r>
    </w:p>
    <w:p>
      <w:pPr>
        <w:spacing w:line="360" w:lineRule="auto"/>
        <w:ind w:firstLine="482" w:firstLineChars="200"/>
        <w:jc w:val="both"/>
        <w:textAlignment w:val="baseline"/>
        <w:rPr>
          <w:rStyle w:val="17"/>
          <w:rFonts w:cs="Times New Roman"/>
          <w:b/>
          <w:bCs/>
          <w:kern w:val="2"/>
          <w:sz w:val="24"/>
          <w:szCs w:val="24"/>
          <w:lang w:val="en-US" w:eastAsia="zh-CN" w:bidi="ar-SA"/>
        </w:rPr>
      </w:pPr>
      <w:r>
        <w:rPr>
          <w:rStyle w:val="17"/>
          <w:rFonts w:cs="Times New Roman"/>
          <w:b/>
          <w:bCs/>
          <w:kern w:val="2"/>
          <w:sz w:val="24"/>
          <w:szCs w:val="24"/>
          <w:lang w:val="en-US" w:eastAsia="zh-CN" w:bidi="ar-SA"/>
        </w:rPr>
        <w:t>三、专业分流依据</w:t>
      </w:r>
    </w:p>
    <w:p>
      <w:pPr>
        <w:spacing w:line="360" w:lineRule="auto"/>
        <w:ind w:firstLine="480" w:firstLineChars="200"/>
        <w:jc w:val="both"/>
        <w:textAlignment w:val="baseline"/>
        <w:rPr>
          <w:rStyle w:val="17"/>
          <w:kern w:val="2"/>
          <w:sz w:val="24"/>
          <w:szCs w:val="24"/>
          <w:lang w:val="en-US" w:eastAsia="zh-CN" w:bidi="ar-SA"/>
        </w:rPr>
      </w:pPr>
      <w:r>
        <w:rPr>
          <w:rStyle w:val="17"/>
          <w:kern w:val="2"/>
          <w:sz w:val="24"/>
          <w:szCs w:val="24"/>
          <w:lang w:val="en-US" w:eastAsia="zh-CN" w:bidi="ar-SA"/>
        </w:rPr>
        <w:t>1.学生所报志愿。</w:t>
      </w:r>
    </w:p>
    <w:p>
      <w:pPr>
        <w:spacing w:line="360" w:lineRule="auto"/>
        <w:ind w:firstLine="480" w:firstLineChars="200"/>
        <w:jc w:val="both"/>
        <w:textAlignment w:val="baseline"/>
        <w:rPr>
          <w:rStyle w:val="17"/>
          <w:kern w:val="2"/>
          <w:sz w:val="24"/>
          <w:szCs w:val="24"/>
          <w:lang w:val="en-US" w:eastAsia="zh-CN" w:bidi="ar-SA"/>
        </w:rPr>
      </w:pPr>
      <w:r>
        <w:rPr>
          <w:rStyle w:val="17"/>
          <w:kern w:val="2"/>
          <w:sz w:val="24"/>
          <w:szCs w:val="24"/>
          <w:lang w:val="en-US" w:eastAsia="zh-CN" w:bidi="ar-SA"/>
        </w:rPr>
        <w:t>2.最低班人数规定。一个班最低人数为15人</w:t>
      </w:r>
      <w:r>
        <w:rPr>
          <w:rStyle w:val="17"/>
          <w:rFonts w:hint="eastAsia"/>
          <w:kern w:val="2"/>
          <w:sz w:val="24"/>
          <w:szCs w:val="24"/>
          <w:lang w:val="en-US" w:eastAsia="zh-CN" w:bidi="ar-SA"/>
        </w:rPr>
        <w:t>。</w:t>
      </w:r>
    </w:p>
    <w:p>
      <w:pPr>
        <w:spacing w:line="360" w:lineRule="auto"/>
        <w:ind w:firstLine="482" w:firstLineChars="200"/>
        <w:jc w:val="both"/>
        <w:textAlignment w:val="baseline"/>
        <w:rPr>
          <w:rStyle w:val="17"/>
          <w:rFonts w:cs="Times New Roman"/>
          <w:b/>
          <w:bCs/>
          <w:kern w:val="2"/>
          <w:sz w:val="24"/>
          <w:szCs w:val="24"/>
          <w:lang w:val="en-US" w:eastAsia="zh-CN" w:bidi="ar-SA"/>
        </w:rPr>
      </w:pPr>
      <w:r>
        <w:rPr>
          <w:rStyle w:val="17"/>
          <w:rFonts w:cs="Times New Roman"/>
          <w:b/>
          <w:bCs/>
          <w:kern w:val="2"/>
          <w:sz w:val="24"/>
          <w:szCs w:val="24"/>
          <w:lang w:val="en-US" w:eastAsia="zh-CN" w:bidi="ar-SA"/>
        </w:rPr>
        <w:t>四、专业分流的时间和具体步骤</w:t>
      </w:r>
    </w:p>
    <w:p>
      <w:pPr>
        <w:spacing w:line="360" w:lineRule="auto"/>
        <w:ind w:firstLine="480" w:firstLineChars="200"/>
        <w:jc w:val="both"/>
        <w:textAlignment w:val="baseline"/>
        <w:rPr>
          <w:rStyle w:val="17"/>
          <w:kern w:val="2"/>
          <w:sz w:val="24"/>
          <w:szCs w:val="24"/>
          <w:lang w:val="en-US" w:eastAsia="zh-CN" w:bidi="ar-SA"/>
        </w:rPr>
      </w:pPr>
      <w:r>
        <w:rPr>
          <w:rStyle w:val="17"/>
          <w:kern w:val="2"/>
          <w:sz w:val="24"/>
          <w:szCs w:val="24"/>
          <w:lang w:val="en-US" w:eastAsia="zh-CN" w:bidi="ar-SA"/>
        </w:rPr>
        <w:t>1.专业分流的时间：一年级第二学期。</w:t>
      </w:r>
    </w:p>
    <w:p>
      <w:pPr>
        <w:spacing w:line="360" w:lineRule="auto"/>
        <w:ind w:firstLine="480" w:firstLineChars="200"/>
        <w:jc w:val="both"/>
        <w:textAlignment w:val="baseline"/>
        <w:rPr>
          <w:rStyle w:val="17"/>
          <w:kern w:val="2"/>
          <w:sz w:val="24"/>
          <w:szCs w:val="24"/>
          <w:lang w:val="en-US" w:eastAsia="zh-CN" w:bidi="ar-SA"/>
        </w:rPr>
      </w:pPr>
      <w:r>
        <w:rPr>
          <w:rStyle w:val="17"/>
          <w:kern w:val="2"/>
          <w:sz w:val="24"/>
          <w:szCs w:val="24"/>
          <w:lang w:val="en-US" w:eastAsia="zh-CN" w:bidi="ar-SA"/>
        </w:rPr>
        <w:t>2.专业分流的具体步骤：</w:t>
      </w:r>
    </w:p>
    <w:p>
      <w:pPr>
        <w:spacing w:line="360" w:lineRule="auto"/>
        <w:ind w:firstLine="480" w:firstLineChars="200"/>
        <w:jc w:val="both"/>
        <w:textAlignment w:val="baseline"/>
        <w:rPr>
          <w:rStyle w:val="17"/>
          <w:kern w:val="2"/>
          <w:sz w:val="24"/>
          <w:szCs w:val="24"/>
          <w:lang w:val="en-US" w:eastAsia="zh-CN" w:bidi="ar-SA"/>
        </w:rPr>
      </w:pPr>
      <w:r>
        <w:rPr>
          <w:rStyle w:val="17"/>
          <w:kern w:val="2"/>
          <w:sz w:val="24"/>
          <w:szCs w:val="24"/>
          <w:lang w:val="en-US" w:eastAsia="zh-CN" w:bidi="ar-SA"/>
        </w:rPr>
        <w:t>（1）专业咨询安排。由学院教学</w:t>
      </w:r>
      <w:r>
        <w:rPr>
          <w:rStyle w:val="17"/>
          <w:rFonts w:hint="eastAsia"/>
          <w:kern w:val="2"/>
          <w:sz w:val="24"/>
          <w:szCs w:val="24"/>
          <w:lang w:val="en-US" w:eastAsia="zh-CN" w:bidi="ar-SA"/>
        </w:rPr>
        <w:t>办公室和</w:t>
      </w:r>
      <w:r>
        <w:rPr>
          <w:rStyle w:val="17"/>
          <w:kern w:val="2"/>
          <w:sz w:val="24"/>
          <w:szCs w:val="24"/>
          <w:lang w:val="en-US" w:eastAsia="zh-CN" w:bidi="ar-SA"/>
        </w:rPr>
        <w:t>各专业所在系提供与本专业相关的专业信息，</w:t>
      </w:r>
      <w:r>
        <w:rPr>
          <w:rStyle w:val="17"/>
          <w:rFonts w:hint="eastAsia"/>
          <w:kern w:val="2"/>
          <w:sz w:val="24"/>
          <w:szCs w:val="24"/>
          <w:lang w:val="en-US" w:eastAsia="zh-CN" w:bidi="ar-SA"/>
        </w:rPr>
        <w:t>组织开展相关</w:t>
      </w:r>
      <w:r>
        <w:rPr>
          <w:rStyle w:val="17"/>
          <w:kern w:val="2"/>
          <w:sz w:val="24"/>
          <w:szCs w:val="24"/>
          <w:lang w:val="en-US" w:eastAsia="zh-CN" w:bidi="ar-SA"/>
        </w:rPr>
        <w:t>咨询事宜</w:t>
      </w:r>
      <w:r>
        <w:rPr>
          <w:rStyle w:val="17"/>
          <w:rFonts w:hint="eastAsia"/>
          <w:kern w:val="2"/>
          <w:sz w:val="24"/>
          <w:szCs w:val="24"/>
          <w:lang w:val="en-US" w:eastAsia="zh-CN" w:bidi="ar-SA"/>
        </w:rPr>
        <w:t>。</w:t>
      </w:r>
    </w:p>
    <w:p>
      <w:pPr>
        <w:spacing w:line="360" w:lineRule="auto"/>
        <w:ind w:firstLine="480" w:firstLineChars="200"/>
        <w:jc w:val="both"/>
        <w:textAlignment w:val="baseline"/>
        <w:rPr>
          <w:rStyle w:val="17"/>
          <w:kern w:val="2"/>
          <w:sz w:val="24"/>
          <w:szCs w:val="24"/>
          <w:lang w:val="en-US" w:eastAsia="zh-CN" w:bidi="ar-SA"/>
        </w:rPr>
      </w:pPr>
      <w:r>
        <w:rPr>
          <w:rStyle w:val="17"/>
          <w:kern w:val="2"/>
          <w:sz w:val="24"/>
          <w:szCs w:val="24"/>
          <w:lang w:val="en-US" w:eastAsia="zh-CN" w:bidi="ar-SA"/>
        </w:rPr>
        <w:t>（2）专业分流方案。自由申报，不设最低班数要求。</w:t>
      </w:r>
    </w:p>
    <w:p>
      <w:pPr>
        <w:spacing w:line="360" w:lineRule="auto"/>
        <w:ind w:firstLine="480" w:firstLineChars="200"/>
        <w:jc w:val="both"/>
        <w:textAlignment w:val="baseline"/>
        <w:rPr>
          <w:rStyle w:val="17"/>
          <w:kern w:val="2"/>
          <w:sz w:val="24"/>
          <w:szCs w:val="24"/>
          <w:lang w:val="en-US" w:eastAsia="zh-CN" w:bidi="ar-SA"/>
        </w:rPr>
      </w:pPr>
      <w:r>
        <w:rPr>
          <w:rStyle w:val="17"/>
          <w:kern w:val="2"/>
          <w:sz w:val="24"/>
          <w:szCs w:val="24"/>
          <w:lang w:val="en-US" w:eastAsia="zh-CN" w:bidi="ar-SA"/>
        </w:rPr>
        <w:t>（3）学生选择专业。</w:t>
      </w:r>
      <w:r>
        <w:rPr>
          <w:rStyle w:val="17"/>
          <w:rFonts w:hint="eastAsia"/>
          <w:kern w:val="2"/>
          <w:sz w:val="24"/>
          <w:szCs w:val="24"/>
          <w:lang w:val="en-US" w:eastAsia="zh-CN" w:bidi="ar-SA"/>
        </w:rPr>
        <w:t>学生</w:t>
      </w:r>
      <w:r>
        <w:rPr>
          <w:rStyle w:val="17"/>
          <w:kern w:val="2"/>
          <w:sz w:val="24"/>
          <w:szCs w:val="24"/>
          <w:lang w:val="en-US" w:eastAsia="zh-CN" w:bidi="ar-SA"/>
        </w:rPr>
        <w:t>填报一个志愿</w:t>
      </w:r>
      <w:r>
        <w:rPr>
          <w:rStyle w:val="17"/>
          <w:rFonts w:hint="eastAsia"/>
          <w:kern w:val="2"/>
          <w:sz w:val="24"/>
          <w:szCs w:val="24"/>
          <w:lang w:val="en-US" w:eastAsia="zh-CN" w:bidi="ar-SA"/>
        </w:rPr>
        <w:t>专业。</w:t>
      </w:r>
      <w:r>
        <w:rPr>
          <w:rStyle w:val="17"/>
          <w:kern w:val="2"/>
          <w:sz w:val="24"/>
          <w:szCs w:val="24"/>
          <w:lang w:val="en-US" w:eastAsia="zh-CN" w:bidi="ar-SA"/>
        </w:rPr>
        <w:t>如果选择某一个专业的人数低于15人的，选择此专业的学生必须服从学院调配，并入另外一个专业。</w:t>
      </w:r>
    </w:p>
    <w:p>
      <w:pPr>
        <w:spacing w:line="360" w:lineRule="auto"/>
        <w:ind w:firstLine="480" w:firstLineChars="200"/>
        <w:jc w:val="both"/>
        <w:textAlignment w:val="baseline"/>
        <w:rPr>
          <w:rStyle w:val="17"/>
          <w:kern w:val="2"/>
          <w:sz w:val="24"/>
          <w:szCs w:val="24"/>
          <w:lang w:val="en-US" w:eastAsia="zh-CN" w:bidi="ar-SA"/>
        </w:rPr>
      </w:pPr>
      <w:r>
        <w:rPr>
          <w:rStyle w:val="17"/>
          <w:kern w:val="2"/>
          <w:sz w:val="24"/>
          <w:szCs w:val="24"/>
          <w:lang w:val="en-US" w:eastAsia="zh-CN" w:bidi="ar-SA"/>
        </w:rPr>
        <w:t>（4）专业分流结果公示三天</w:t>
      </w:r>
      <w:r>
        <w:rPr>
          <w:rStyle w:val="17"/>
          <w:rFonts w:hint="eastAsia"/>
          <w:kern w:val="2"/>
          <w:sz w:val="24"/>
          <w:szCs w:val="24"/>
          <w:lang w:val="en-US" w:eastAsia="zh-CN" w:bidi="ar-SA"/>
        </w:rPr>
        <w:t>。</w:t>
      </w:r>
    </w:p>
    <w:p>
      <w:pPr>
        <w:spacing w:line="360" w:lineRule="auto"/>
        <w:ind w:firstLine="480" w:firstLineChars="200"/>
        <w:jc w:val="both"/>
        <w:textAlignment w:val="baseline"/>
        <w:rPr>
          <w:rStyle w:val="17"/>
          <w:kern w:val="2"/>
          <w:sz w:val="24"/>
          <w:szCs w:val="24"/>
          <w:lang w:val="en-US" w:eastAsia="zh-CN" w:bidi="ar-SA"/>
        </w:rPr>
      </w:pPr>
      <w:r>
        <w:rPr>
          <w:rStyle w:val="17"/>
          <w:kern w:val="2"/>
          <w:sz w:val="24"/>
          <w:szCs w:val="24"/>
          <w:lang w:val="en-US" w:eastAsia="zh-CN" w:bidi="ar-SA"/>
        </w:rPr>
        <w:t>（5）专业分流结果上报本科生院备案。</w:t>
      </w:r>
    </w:p>
    <w:p>
      <w:pPr>
        <w:spacing w:line="360" w:lineRule="auto"/>
        <w:ind w:firstLine="482" w:firstLineChars="200"/>
        <w:jc w:val="both"/>
        <w:textAlignment w:val="baseline"/>
        <w:rPr>
          <w:rStyle w:val="17"/>
          <w:rFonts w:cs="Times New Roman"/>
          <w:b/>
          <w:bCs/>
          <w:kern w:val="2"/>
          <w:sz w:val="24"/>
          <w:szCs w:val="24"/>
          <w:lang w:val="en-US" w:eastAsia="zh-CN" w:bidi="ar-SA"/>
        </w:rPr>
      </w:pPr>
      <w:r>
        <w:rPr>
          <w:rStyle w:val="17"/>
          <w:rFonts w:cs="Times New Roman"/>
          <w:b/>
          <w:bCs/>
          <w:kern w:val="2"/>
          <w:sz w:val="24"/>
          <w:szCs w:val="24"/>
          <w:lang w:val="en-US" w:eastAsia="zh-CN" w:bidi="ar-SA"/>
        </w:rPr>
        <w:t>五、申诉和受理</w:t>
      </w:r>
    </w:p>
    <w:p>
      <w:pPr>
        <w:spacing w:line="360" w:lineRule="auto"/>
        <w:ind w:left="567" w:leftChars="0"/>
        <w:jc w:val="both"/>
        <w:textAlignment w:val="baseline"/>
        <w:rPr>
          <w:rStyle w:val="17"/>
          <w:kern w:val="2"/>
          <w:sz w:val="24"/>
          <w:szCs w:val="24"/>
          <w:lang w:val="en-US" w:eastAsia="zh-CN" w:bidi="ar-SA"/>
        </w:rPr>
      </w:pPr>
      <w:r>
        <w:rPr>
          <w:rStyle w:val="17"/>
          <w:kern w:val="2"/>
          <w:sz w:val="24"/>
          <w:szCs w:val="24"/>
          <w:lang w:val="en-US" w:eastAsia="zh-CN" w:bidi="ar-SA"/>
        </w:rPr>
        <w:t>1.学生对专业分流结果有异议的，可采用纸面或口头形式向工作小组提出申诉，由工作小组上报领导小组处理。</w:t>
      </w:r>
    </w:p>
    <w:p>
      <w:pPr>
        <w:spacing w:line="360" w:lineRule="auto"/>
        <w:ind w:left="567" w:leftChars="0"/>
        <w:jc w:val="both"/>
        <w:textAlignment w:val="baseline"/>
        <w:rPr>
          <w:rStyle w:val="17"/>
          <w:kern w:val="2"/>
          <w:sz w:val="24"/>
          <w:szCs w:val="24"/>
          <w:lang w:val="en-US" w:eastAsia="zh-CN" w:bidi="ar-SA"/>
        </w:rPr>
      </w:pPr>
      <w:r>
        <w:rPr>
          <w:rStyle w:val="17"/>
          <w:kern w:val="2"/>
          <w:sz w:val="24"/>
          <w:szCs w:val="24"/>
          <w:lang w:val="en-US" w:eastAsia="zh-CN" w:bidi="ar-SA"/>
        </w:rPr>
        <w:t>2.领导小组接到申诉后，应及时处理，并将处理结果反馈申诉学生。</w:t>
      </w:r>
      <w:bookmarkStart w:id="0" w:name="_GoBack"/>
      <w:bookmarkEnd w:id="0"/>
    </w:p>
    <w:p>
      <w:pPr>
        <w:spacing w:line="360" w:lineRule="auto"/>
        <w:ind w:left="567" w:leftChars="0"/>
        <w:jc w:val="both"/>
        <w:textAlignment w:val="baseline"/>
        <w:rPr>
          <w:rStyle w:val="17"/>
          <w:rFonts w:cs="Times New Roman"/>
          <w:b/>
          <w:bCs/>
          <w:kern w:val="2"/>
          <w:sz w:val="24"/>
          <w:szCs w:val="24"/>
          <w:lang w:val="en-US" w:eastAsia="zh-CN" w:bidi="ar-SA"/>
        </w:rPr>
      </w:pPr>
      <w:r>
        <w:rPr>
          <w:rStyle w:val="17"/>
          <w:rFonts w:cs="Times New Roman"/>
          <w:b/>
          <w:bCs/>
          <w:kern w:val="2"/>
          <w:sz w:val="24"/>
          <w:szCs w:val="24"/>
          <w:lang w:val="en-US" w:eastAsia="zh-CN" w:bidi="ar-SA"/>
        </w:rPr>
        <w:t>六、其他</w:t>
      </w:r>
    </w:p>
    <w:p>
      <w:pPr>
        <w:spacing w:line="360" w:lineRule="auto"/>
        <w:ind w:left="567" w:leftChars="0"/>
        <w:jc w:val="both"/>
        <w:textAlignment w:val="baseline"/>
        <w:rPr>
          <w:rStyle w:val="17"/>
          <w:rFonts w:eastAsia="宋体"/>
          <w:kern w:val="2"/>
          <w:sz w:val="24"/>
          <w:szCs w:val="24"/>
          <w:lang w:val="en-US" w:eastAsia="zh-CN" w:bidi="ar-SA"/>
        </w:rPr>
      </w:pPr>
      <w:r>
        <w:rPr>
          <w:rStyle w:val="17"/>
          <w:kern w:val="2"/>
          <w:sz w:val="24"/>
          <w:szCs w:val="24"/>
          <w:lang w:val="en-US" w:eastAsia="zh-CN" w:bidi="ar-SA"/>
        </w:rPr>
        <w:t>此办法从公共管理类2019级开始执行。</w:t>
      </w:r>
    </w:p>
    <w:p>
      <w:pPr>
        <w:spacing w:line="360" w:lineRule="auto"/>
        <w:ind w:firstLine="840"/>
        <w:jc w:val="both"/>
        <w:textAlignment w:val="baseline"/>
        <w:rPr>
          <w:rStyle w:val="17"/>
          <w:kern w:val="2"/>
          <w:sz w:val="24"/>
          <w:szCs w:val="24"/>
          <w:lang w:val="en-US" w:eastAsia="zh-CN" w:bidi="ar-SA"/>
        </w:rPr>
      </w:pPr>
    </w:p>
    <w:p>
      <w:pPr>
        <w:spacing w:line="360" w:lineRule="auto"/>
        <w:ind w:firstLine="840"/>
        <w:jc w:val="both"/>
        <w:textAlignment w:val="baseline"/>
        <w:rPr>
          <w:rStyle w:val="17"/>
          <w:kern w:val="2"/>
          <w:sz w:val="24"/>
          <w:szCs w:val="24"/>
          <w:lang w:val="en-US" w:eastAsia="zh-CN" w:bidi="ar-SA"/>
        </w:rPr>
      </w:pPr>
    </w:p>
    <w:p>
      <w:pPr>
        <w:spacing w:line="360" w:lineRule="auto"/>
        <w:ind w:firstLine="840"/>
        <w:jc w:val="both"/>
        <w:textAlignment w:val="baseline"/>
        <w:rPr>
          <w:rStyle w:val="17"/>
          <w:kern w:val="2"/>
          <w:sz w:val="24"/>
          <w:szCs w:val="24"/>
          <w:lang w:val="en-US" w:eastAsia="zh-CN" w:bidi="ar-SA"/>
        </w:rPr>
      </w:pPr>
    </w:p>
    <w:p>
      <w:pPr>
        <w:spacing w:line="360" w:lineRule="auto"/>
        <w:ind w:firstLine="840"/>
        <w:jc w:val="right"/>
        <w:textAlignment w:val="baseline"/>
        <w:rPr>
          <w:rStyle w:val="17"/>
          <w:kern w:val="2"/>
          <w:sz w:val="24"/>
          <w:szCs w:val="24"/>
          <w:lang w:val="en-US" w:eastAsia="zh-CN" w:bidi="ar-SA"/>
        </w:rPr>
      </w:pPr>
      <w:r>
        <w:rPr>
          <w:rStyle w:val="17"/>
          <w:kern w:val="2"/>
          <w:sz w:val="24"/>
          <w:szCs w:val="24"/>
          <w:lang w:val="en-US" w:eastAsia="zh-CN" w:bidi="ar-SA"/>
        </w:rPr>
        <w:t xml:space="preserve">                                               人文与法律学院</w:t>
      </w:r>
    </w:p>
    <w:p>
      <w:pPr>
        <w:spacing w:line="360" w:lineRule="auto"/>
        <w:ind w:firstLine="840"/>
        <w:jc w:val="right"/>
        <w:textAlignment w:val="baseline"/>
        <w:rPr>
          <w:rStyle w:val="17"/>
          <w:kern w:val="2"/>
          <w:sz w:val="24"/>
          <w:szCs w:val="24"/>
          <w:lang w:val="en-US" w:eastAsia="zh-CN" w:bidi="ar-SA"/>
        </w:rPr>
      </w:pPr>
      <w:r>
        <w:rPr>
          <w:rStyle w:val="17"/>
          <w:kern w:val="2"/>
          <w:sz w:val="24"/>
          <w:szCs w:val="24"/>
          <w:lang w:val="en-US" w:eastAsia="zh-CN" w:bidi="ar-SA"/>
        </w:rPr>
        <w:t xml:space="preserve">                                               2020年5月18日</w:t>
      </w:r>
    </w:p>
    <w:p>
      <w:pPr>
        <w:jc w:val="center"/>
        <w:rPr>
          <w:rFonts w:ascii="Times New Roman" w:hAnsi="Times New Roman" w:cs="Times New Roman"/>
        </w:rPr>
      </w:pPr>
    </w:p>
    <w:sectPr>
      <w:footerReference r:id="rId3" w:type="default"/>
      <w:pgSz w:w="11906" w:h="16838"/>
      <w:pgMar w:top="1440" w:right="1416" w:bottom="1440" w:left="1800" w:header="851" w:footer="665"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8088953"/>
      <w:docPartObj>
        <w:docPartGallery w:val="AutoText"/>
      </w:docPartObj>
    </w:sdtPr>
    <w:sdtContent>
      <w:p>
        <w:pPr>
          <w:pStyle w:val="4"/>
          <w:jc w:val="right"/>
        </w:pPr>
        <w:r>
          <w:fldChar w:fldCharType="begin"/>
        </w:r>
        <w:r>
          <w:instrText xml:space="preserve">PAGE   \* MERGEFORMAT</w:instrText>
        </w:r>
        <w:r>
          <w:fldChar w:fldCharType="separate"/>
        </w:r>
        <w:r>
          <w:rPr>
            <w:lang w:val="zh-CN"/>
          </w:rPr>
          <w:t>16</w:t>
        </w:r>
        <w:r>
          <w:fldChar w:fldCharType="end"/>
        </w:r>
      </w:p>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CF0"/>
    <w:rsid w:val="00010C40"/>
    <w:rsid w:val="000A3B5E"/>
    <w:rsid w:val="001226E8"/>
    <w:rsid w:val="00197995"/>
    <w:rsid w:val="001E7D83"/>
    <w:rsid w:val="00267D31"/>
    <w:rsid w:val="003402E5"/>
    <w:rsid w:val="00360697"/>
    <w:rsid w:val="0047767C"/>
    <w:rsid w:val="00556515"/>
    <w:rsid w:val="005C301B"/>
    <w:rsid w:val="005E2897"/>
    <w:rsid w:val="00606E33"/>
    <w:rsid w:val="00640CF0"/>
    <w:rsid w:val="006F53A2"/>
    <w:rsid w:val="00807AA0"/>
    <w:rsid w:val="00813A92"/>
    <w:rsid w:val="00863D16"/>
    <w:rsid w:val="008E4EB0"/>
    <w:rsid w:val="009609DE"/>
    <w:rsid w:val="00BA2DFF"/>
    <w:rsid w:val="00C83C1D"/>
    <w:rsid w:val="00D75431"/>
    <w:rsid w:val="00ED074C"/>
    <w:rsid w:val="00FE5747"/>
    <w:rsid w:val="00FE6042"/>
    <w:rsid w:val="537D682A"/>
    <w:rsid w:val="659C6131"/>
    <w:rsid w:val="6A1040FE"/>
    <w:rsid w:val="6EFC3D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7"/>
    <w:qFormat/>
    <w:uiPriority w:val="0"/>
    <w:pPr>
      <w:widowControl w:val="0"/>
      <w:jc w:val="both"/>
    </w:pPr>
    <w:rPr>
      <w:rFonts w:asciiTheme="minorHAnsi" w:hAnsiTheme="minorHAnsi" w:eastAsiaTheme="minorEastAsia" w:cstheme="minorBidi"/>
      <w:kern w:val="2"/>
      <w:sz w:val="21"/>
      <w:szCs w:val="22"/>
      <w:lang w:val="de-DE"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Date"/>
    <w:basedOn w:val="1"/>
    <w:next w:val="1"/>
    <w:link w:val="9"/>
    <w:semiHidden/>
    <w:unhideWhenUsed/>
    <w:uiPriority w:val="99"/>
    <w:pPr>
      <w:ind w:left="100" w:leftChars="2500"/>
    </w:pPr>
  </w:style>
  <w:style w:type="paragraph" w:styleId="3">
    <w:name w:val="Balloon Text"/>
    <w:basedOn w:val="1"/>
    <w:link w:val="16"/>
    <w:semiHidden/>
    <w:unhideWhenUsed/>
    <w:qFormat/>
    <w:uiPriority w:val="99"/>
    <w:rPr>
      <w:sz w:val="18"/>
      <w:szCs w:val="18"/>
    </w:rPr>
  </w:style>
  <w:style w:type="paragraph" w:styleId="4">
    <w:name w:val="footer"/>
    <w:basedOn w:val="1"/>
    <w:link w:val="11"/>
    <w:unhideWhenUsed/>
    <w:uiPriority w:val="99"/>
    <w:pPr>
      <w:tabs>
        <w:tab w:val="center" w:pos="4153"/>
        <w:tab w:val="right" w:pos="8306"/>
      </w:tabs>
      <w:snapToGrid w:val="0"/>
      <w:jc w:val="left"/>
    </w:pPr>
    <w:rPr>
      <w:sz w:val="18"/>
      <w:szCs w:val="18"/>
    </w:rPr>
  </w:style>
  <w:style w:type="paragraph" w:styleId="5">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日期 Char"/>
    <w:basedOn w:val="8"/>
    <w:link w:val="2"/>
    <w:semiHidden/>
    <w:uiPriority w:val="99"/>
    <w:rPr>
      <w:lang w:val="de-DE"/>
    </w:rPr>
  </w:style>
  <w:style w:type="character" w:customStyle="1" w:styleId="10">
    <w:name w:val="页眉 Char"/>
    <w:basedOn w:val="8"/>
    <w:link w:val="5"/>
    <w:qFormat/>
    <w:uiPriority w:val="99"/>
    <w:rPr>
      <w:sz w:val="18"/>
      <w:szCs w:val="18"/>
      <w:lang w:val="de-DE"/>
    </w:rPr>
  </w:style>
  <w:style w:type="character" w:customStyle="1" w:styleId="11">
    <w:name w:val="页脚 Char"/>
    <w:basedOn w:val="8"/>
    <w:link w:val="4"/>
    <w:uiPriority w:val="99"/>
    <w:rPr>
      <w:sz w:val="18"/>
      <w:szCs w:val="18"/>
      <w:lang w:val="de-DE"/>
    </w:rPr>
  </w:style>
  <w:style w:type="table" w:customStyle="1" w:styleId="12">
    <w:name w:val="Plain Table 1"/>
    <w:basedOn w:val="6"/>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13">
    <w:name w:val="Grid Table 1 Light Accent 1"/>
    <w:basedOn w:val="6"/>
    <w:qFormat/>
    <w:uiPriority w:val="46"/>
    <w:tblPr>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2" w:space="0"/>
        </w:tcBorders>
      </w:tcPr>
    </w:tblStylePr>
    <w:tblStylePr w:type="firstCol">
      <w:rPr>
        <w:b/>
        <w:bCs/>
      </w:rPr>
    </w:tblStylePr>
    <w:tblStylePr w:type="lastCol">
      <w:rPr>
        <w:b/>
        <w:bCs/>
      </w:rPr>
    </w:tblStylePr>
  </w:style>
  <w:style w:type="table" w:customStyle="1" w:styleId="14">
    <w:name w:val="Plain Table 4"/>
    <w:basedOn w:val="6"/>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styleId="15">
    <w:name w:val="List Paragraph"/>
    <w:basedOn w:val="1"/>
    <w:uiPriority w:val="99"/>
    <w:pPr>
      <w:ind w:firstLine="420" w:firstLineChars="200"/>
    </w:pPr>
    <w:rPr>
      <w:lang w:val="en-US"/>
    </w:rPr>
  </w:style>
  <w:style w:type="character" w:customStyle="1" w:styleId="16">
    <w:name w:val="批注框文本 Char"/>
    <w:basedOn w:val="8"/>
    <w:link w:val="3"/>
    <w:semiHidden/>
    <w:uiPriority w:val="99"/>
    <w:rPr>
      <w:sz w:val="18"/>
      <w:szCs w:val="18"/>
      <w:lang w:val="de-DE"/>
    </w:rPr>
  </w:style>
  <w:style w:type="character" w:customStyle="1" w:styleId="17">
    <w:name w:val="NormalCharacter"/>
    <w:link w:val="1"/>
    <w:semiHidden/>
    <w:uiPriority w:val="0"/>
    <w:rPr>
      <w:rFonts w:asciiTheme="minorHAnsi" w:hAnsiTheme="minorHAnsi" w:eastAsiaTheme="minorEastAsia" w:cstheme="minorBidi"/>
      <w:kern w:val="2"/>
      <w:sz w:val="21"/>
      <w:szCs w:val="22"/>
      <w:lang w:val="de-DE"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image" Target="media/image4.emf"/><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1177</Words>
  <Characters>6711</Characters>
  <Lines>55</Lines>
  <Paragraphs>15</Paragraphs>
  <TotalTime>1</TotalTime>
  <ScaleCrop>false</ScaleCrop>
  <LinksUpToDate>false</LinksUpToDate>
  <CharactersWithSpaces>7873</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2020-05-18T02:42:00Z</dcterms:created>
  <dc:creator>MM Dr.SHEN</dc:creator>
  <cp:lastModifiedBy>PC</cp:lastModifiedBy>
  <cp:lastPrinted>2020-05-18T05:53:00Z</cp:lastPrinted>
  <dcterms:modified xsi:type="dcterms:W3CDTF">2020-05-19T08:48:07Z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